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NATIONAL COLLEGE OF IRELAND</w:t>
        <w:br/>
        <w:t>SCHOOL OF COMPUTING</w:t>
      </w:r>
    </w:p>
    <w:p>
      <w:pPr>
        <w:jc w:val="center"/>
      </w:pPr>
      <w:r>
        <w:rPr>
          <w:b/>
          <w:color w:val="323232"/>
          <w:sz w:val="22"/>
        </w:rPr>
        <w:t>Master of Science in Data Analytics (MSCDAD)</w:t>
        <w:br/>
        <w:t>RESEARCH PRACTICUM (MSCDAD_A_JAN26I): WEEKLY PROGRESS REPORT</w:t>
      </w:r>
    </w:p>
    <w:tbl>
      <w:tblPr>
        <w:tblW w:type="auto" w:w="0"/>
        <w:jc w:val="center"/>
        <w:tblLayout w:type="fixed"/>
        <w:tblLook w:firstColumn="1" w:firstRow="1" w:lastColumn="0" w:lastRow="0" w:noHBand="0" w:noVBand="1" w:val="04A0"/>
      </w:tblPr>
      <w:tblGrid>
        <w:gridCol w:w="4968"/>
        <w:gridCol w:w="4968"/>
      </w:tblGrid>
      <w:tr>
        <w:tc>
          <w:tcPr>
            <w:tcW w:type="dxa" w:w="3168"/>
            <w:shd w:fill="F0F4F8"/>
          </w:tcPr>
          <w:p>
            <w:r>
              <w:rPr>
                <w:b/>
                <w:sz w:val="19"/>
              </w:rPr>
              <w:t>Student Name:</w:t>
            </w:r>
          </w:p>
        </w:tc>
        <w:tc>
          <w:tcPr>
            <w:tcW w:type="dxa" w:w="6768"/>
            <w:shd w:fill="FFFFFF"/>
          </w:tcPr>
          <w:p>
            <w:r>
              <w:rPr>
                <w:sz w:val="19"/>
              </w:rPr>
              <w:t>Rohitkumar Amritlal Jaiswal</w:t>
            </w:r>
          </w:p>
        </w:tc>
      </w:tr>
      <w:tr>
        <w:tc>
          <w:tcPr>
            <w:tcW w:type="dxa" w:w="3168"/>
            <w:shd w:fill="F0F4F8"/>
          </w:tcPr>
          <w:p>
            <w:r>
              <w:rPr>
                <w:b/>
                <w:sz w:val="19"/>
              </w:rPr>
              <w:t>Student ID Number:</w:t>
            </w:r>
          </w:p>
        </w:tc>
        <w:tc>
          <w:tcPr>
            <w:tcW w:type="dxa" w:w="6768"/>
            <w:shd w:fill="FFFFFF"/>
          </w:tcPr>
          <w:p>
            <w:r>
              <w:rPr>
                <w:sz w:val="19"/>
              </w:rPr>
              <w:t>x25119613</w:t>
            </w:r>
          </w:p>
        </w:tc>
      </w:tr>
      <w:tr>
        <w:tc>
          <w:tcPr>
            <w:tcW w:type="dxa" w:w="3168"/>
            <w:shd w:fill="F0F4F8"/>
          </w:tcPr>
          <w:p>
            <w:r>
              <w:rPr>
                <w:b/>
                <w:sz w:val="19"/>
              </w:rPr>
              <w:t>Academic Supervisor:</w:t>
            </w:r>
          </w:p>
        </w:tc>
        <w:tc>
          <w:tcPr>
            <w:tcW w:type="dxa" w:w="6768"/>
            <w:shd w:fill="FFFFFF"/>
          </w:tcPr>
          <w:p>
            <w:r>
              <w:rPr>
                <w:sz w:val="19"/>
              </w:rPr>
              <w:t>Dr. Thanos Staikopoulos</w:t>
            </w:r>
          </w:p>
        </w:tc>
      </w:tr>
      <w:tr>
        <w:tc>
          <w:tcPr>
            <w:tcW w:type="dxa" w:w="3168"/>
            <w:shd w:fill="F0F4F8"/>
          </w:tcPr>
          <w:p>
            <w:r>
              <w:rPr>
                <w:b/>
                <w:sz w:val="19"/>
              </w:rPr>
              <w:t>Project Title:</w:t>
            </w:r>
          </w:p>
        </w:tc>
        <w:tc>
          <w:tcPr>
            <w:tcW w:type="dxa" w:w="6768"/>
            <w:shd w:fill="FFFFFF"/>
          </w:tcPr>
          <w:p>
            <w:r>
              <w:rPr>
                <w:sz w:val="19"/>
              </w:rPr>
              <w:t>Coupling Port Congestion and Customs Delay Prediction with Carbon-Aware Multi-Objective Route Optimisation for Post-Brexit Irish Freight Logistics</w:t>
            </w:r>
          </w:p>
        </w:tc>
      </w:tr>
      <w:tr>
        <w:tc>
          <w:tcPr>
            <w:tcW w:type="dxa" w:w="3168"/>
            <w:shd w:fill="F0F4F8"/>
          </w:tcPr>
          <w:p>
            <w:r>
              <w:rPr>
                <w:b/>
                <w:sz w:val="19"/>
              </w:rPr>
              <w:t>Reporting Period / Date:</w:t>
            </w:r>
          </w:p>
        </w:tc>
        <w:tc>
          <w:tcPr>
            <w:tcW w:type="dxa" w:w="6768"/>
            <w:shd w:fill="FFFFFF"/>
          </w:tcPr>
          <w:p>
            <w:r>
              <w:rPr>
                <w:sz w:val="19"/>
              </w:rPr>
              <w:t>Week 1 (Kickoff, Technical Initialization &amp; Baseline Benchmark) | Tuesday, 29 September 2026</w:t>
            </w:r>
          </w:p>
        </w:tc>
      </w:tr>
      <w:tr>
        <w:tc>
          <w:tcPr>
            <w:tcW w:type="dxa" w:w="3168"/>
            <w:shd w:fill="F0F4F8"/>
          </w:tcPr>
          <w:p>
            <w:r>
              <w:rPr>
                <w:b/>
                <w:sz w:val="19"/>
              </w:rPr>
              <w:t>Meeting Mode &amp; Duration:</w:t>
            </w:r>
          </w:p>
        </w:tc>
        <w:tc>
          <w:tcPr>
            <w:tcW w:type="dxa" w:w="6768"/>
            <w:shd w:fill="FFFFFF"/>
          </w:tcPr>
          <w:p>
            <w:r>
              <w:rPr>
                <w:sz w:val="19"/>
              </w:rPr>
              <w:t>Formal Submission &amp; Progress Review (45 Minutes)</w:t>
            </w:r>
          </w:p>
        </w:tc>
      </w:tr>
    </w:tbl>
    <w:p>
      <w:pPr>
        <w:spacing w:after="160"/>
      </w:pPr>
    </w:p>
    <w:p>
      <w:pPr>
        <w:spacing w:before="220" w:after="80"/>
      </w:pPr>
      <w:r>
        <w:rPr>
          <w:b/>
          <w:color w:val="102C57"/>
          <w:sz w:val="22"/>
        </w:rPr>
        <w:t>1. Activities Completed This Week (What?)</w:t>
      </w:r>
    </w:p>
    <w:p>
      <w:pPr>
        <w:pStyle w:val="ListBullet"/>
        <w:spacing w:after="50"/>
      </w:pPr>
      <w:r>
        <w:rPr>
          <w:b/>
          <w:sz w:val="18"/>
        </w:rPr>
        <w:t xml:space="preserve">Project Proposal and Ethics Sign-Off: </w:t>
      </w:r>
      <w:r>
        <w:rPr>
          <w:sz w:val="18"/>
        </w:rPr>
        <w:t>Finalised the 4,691-word Research in Computing Proposal PDF (CA2) incorporating CA1 supervisory feedback. Streamlined the architecture into three tightly coupled modules: (C1) Port Congestion Classifier, (C2) Customs Delay Regressor, and (C3) Carbon-Aware Pareto Route Optimizer. Curated all 7 literature review references and EU directives (Literature_Review_References.zip) and executed the signed Ethics Declaration verifying secondary and synthetic data usage.</w:t>
      </w:r>
    </w:p>
    <w:p>
      <w:pPr>
        <w:pStyle w:val="ListBullet"/>
        <w:spacing w:after="50"/>
      </w:pPr>
      <w:r>
        <w:rPr>
          <w:b/>
          <w:sz w:val="18"/>
        </w:rPr>
        <w:t xml:space="preserve">Project Pitch Formulation: </w:t>
      </w:r>
      <w:r>
        <w:rPr>
          <w:sz w:val="18"/>
        </w:rPr>
        <w:t>Developed a structured 1-2 minute project pitch adhering to the required sequence (Problem -&gt; Gap -&gt; Idea -&gt; Method -&gt; Contribution) in preparation for the 1 October presentation.</w:t>
      </w:r>
    </w:p>
    <w:p>
      <w:pPr>
        <w:pStyle w:val="ListBullet"/>
        <w:spacing w:after="50"/>
      </w:pPr>
      <w:r>
        <w:rPr>
          <w:b/>
          <w:sz w:val="18"/>
        </w:rPr>
        <w:t xml:space="preserve">Repository Architecture and Environment Setup: </w:t>
      </w:r>
      <w:r>
        <w:rPr>
          <w:sz w:val="18"/>
        </w:rPr>
        <w:t>Initialized the formal Git repository and structured the production-grade Python package (irishlogix) following modern PEP 621 packaging with pyproject.toml.</w:t>
      </w:r>
    </w:p>
    <w:p>
      <w:pPr>
        <w:pStyle w:val="ListBullet"/>
        <w:spacing w:after="50"/>
      </w:pPr>
      <w:r>
        <w:rPr>
          <w:b/>
          <w:sz w:val="18"/>
        </w:rPr>
        <w:t xml:space="preserve">Automated Open Data Ingestion Pipeline (cso_loader.py): </w:t>
      </w:r>
      <w:r>
        <w:rPr>
          <w:sz w:val="18"/>
        </w:rPr>
        <w:t>Engineered and deployed an automated data ingestion client connecting directly to the Central Statistics Office (CSO) PxStat REST API. Successfully downloaded, cleaned, and cached: TBQ01 (444 vessel arrival records), TBQ04 (2,331 Ro-Ro freight unit traffic records), and TBQ05 (3,600 port tonnage records disaggregated by trade region - Great Britain vs. EU). Constructed the unified port activity matrix ready for C1 training.</w:t>
      </w:r>
    </w:p>
    <w:p>
      <w:pPr>
        <w:pStyle w:val="ListBullet"/>
        <w:spacing w:after="50"/>
      </w:pPr>
      <w:r>
        <w:rPr>
          <w:b/>
          <w:sz w:val="18"/>
        </w:rPr>
        <w:t xml:space="preserve">Interactive Jupyter Notebook: </w:t>
      </w:r>
      <w:r>
        <w:rPr>
          <w:sz w:val="18"/>
        </w:rPr>
        <w:t>Created and executed notebooks/01_week1_data_ingestion_and_exploration.ipynb documenting live dataset downloads, longitudinal trend graphs (2017 to 2026), trade region shifts, and baseline routing metrics.</w:t>
      </w:r>
    </w:p>
    <w:p>
      <w:pPr>
        <w:pStyle w:val="ListBullet"/>
        <w:spacing w:after="50"/>
      </w:pPr>
      <w:r>
        <w:rPr>
          <w:b/>
          <w:sz w:val="18"/>
        </w:rPr>
        <w:t xml:space="preserve">Irish Freight Corridor Road Network Graph (corridor_network.py): </w:t>
      </w:r>
      <w:r>
        <w:rPr>
          <w:sz w:val="18"/>
        </w:rPr>
        <w:t>Formulated a NetworkX graph modeling 11 strategic nodes (Dublin Port, Port of Cork, Rosslare Europort, M50 Logistics Hub, Athlone, Limerick/Shannon, Galway, Waterford, Dundalk) and 15 bidirectional corridor edges with road classifications, toll fees, HGV speed caps, and Dijkstra all-pairs distance matrices.</w:t>
      </w:r>
    </w:p>
    <w:p>
      <w:pPr>
        <w:pStyle w:val="ListBullet"/>
        <w:spacing w:after="50"/>
      </w:pPr>
      <w:r>
        <w:rPr>
          <w:b/>
          <w:sz w:val="18"/>
        </w:rPr>
        <w:t xml:space="preserve">Baseline FIFO Dispatcher Simulation Engine (baseline_dispatcher.py): </w:t>
      </w:r>
      <w:r>
        <w:rPr>
          <w:sz w:val="18"/>
        </w:rPr>
        <w:t>Built and executed the First-In-First-Out empirical baseline simulation modeling traditional SME unbuffered scheduling across 50 benchmark consignments: 8,636.5 km transit distance; 104.4 driving hours; 63.5 idle waiting hours (averaging 1.27 hours wasted idling per consignment); 2,879.3 L diesel consumed; 7,601.3 kg CO2e emitted; total operational cost of €14,791.21 (avg €295.82 per trip).</w:t>
      </w:r>
    </w:p>
    <w:p>
      <w:pPr>
        <w:pStyle w:val="ListBullet"/>
        <w:spacing w:after="50"/>
      </w:pPr>
      <w:r>
        <w:rPr>
          <w:b/>
          <w:sz w:val="18"/>
        </w:rPr>
        <w:t xml:space="preserve">Unit Testing Suite: </w:t>
      </w:r>
      <w:r>
        <w:rPr>
          <w:sz w:val="18"/>
        </w:rPr>
        <w:t>Authored 9 comprehensive unit tests across data ingestion, corridor routing, and simulation modules; achieved 100% test pass rate (pytest tests -v in 1.10s).</w:t>
      </w:r>
    </w:p>
    <w:p>
      <w:pPr>
        <w:spacing w:before="220" w:after="80"/>
      </w:pPr>
      <w:r>
        <w:rPr>
          <w:b/>
          <w:color w:val="102C57"/>
          <w:sz w:val="22"/>
        </w:rPr>
        <w:t>2. Primary Public Dataset Sources &amp; URLs</w:t>
      </w:r>
    </w:p>
    <w:tbl>
      <w:tblPr>
        <w:tblW w:type="auto" w:w="0"/>
        <w:jc w:val="center"/>
        <w:tblLook w:firstColumn="1" w:firstRow="1" w:lastColumn="0" w:lastRow="0" w:noHBand="0" w:noVBand="1" w:val="04A0"/>
      </w:tblPr>
      <w:tblGrid>
        <w:gridCol w:w="3312"/>
        <w:gridCol w:w="3312"/>
        <w:gridCol w:w="3312"/>
      </w:tblGrid>
      <w:tr>
        <w:tc>
          <w:tcPr>
            <w:tcW w:type="dxa" w:w="3312"/>
            <w:shd w:fill="102C57"/>
          </w:tcPr>
          <w:p>
            <w:r>
              <w:rPr>
                <w:b/>
                <w:color w:val="FFFFFF"/>
                <w:sz w:val="17"/>
              </w:rPr>
              <w:t>Dataset Source</w:t>
            </w:r>
          </w:p>
        </w:tc>
        <w:tc>
          <w:tcPr>
            <w:tcW w:type="dxa" w:w="3312"/>
            <w:shd w:fill="102C57"/>
          </w:tcPr>
          <w:p>
            <w:r>
              <w:rPr>
                <w:b/>
                <w:color w:val="FFFFFF"/>
                <w:sz w:val="17"/>
              </w:rPr>
              <w:t>Direct Public URL</w:t>
            </w:r>
          </w:p>
        </w:tc>
        <w:tc>
          <w:tcPr>
            <w:tcW w:type="dxa" w:w="3312"/>
            <w:shd w:fill="102C57"/>
          </w:tcPr>
          <w:p>
            <w:r>
              <w:rPr>
                <w:b/>
                <w:color w:val="FFFFFF"/>
                <w:sz w:val="17"/>
              </w:rPr>
              <w:t>Project Purpose</w:t>
            </w:r>
          </w:p>
        </w:tc>
      </w:tr>
      <w:tr>
        <w:tc>
          <w:tcPr>
            <w:tcW w:type="dxa" w:w="3312"/>
            <w:shd w:fill="FFFFFF"/>
          </w:tcPr>
          <w:p>
            <w:r>
              <w:rPr>
                <w:sz w:val="16"/>
              </w:rPr>
              <w:t>CSO Table TBQ01 (Vessel Arrivals)</w:t>
            </w:r>
          </w:p>
        </w:tc>
        <w:tc>
          <w:tcPr>
            <w:tcW w:type="dxa" w:w="3312"/>
            <w:shd w:fill="FFFFFF"/>
          </w:tcPr>
          <w:p>
            <w:r>
              <w:rPr>
                <w:sz w:val="16"/>
              </w:rPr>
              <w:t>https://data.cso.ie/table/TBQ01</w:t>
            </w:r>
          </w:p>
        </w:tc>
        <w:tc>
          <w:tcPr>
            <w:tcW w:type="dxa" w:w="3312"/>
            <w:shd w:fill="FFFFFF"/>
          </w:tcPr>
          <w:p>
            <w:r>
              <w:rPr>
                <w:sz w:val="16"/>
              </w:rPr>
              <w:t>Port ship traffic into Dublin, Cork, Rosslare (C1 Classifier)</w:t>
            </w:r>
          </w:p>
        </w:tc>
      </w:tr>
      <w:tr>
        <w:tc>
          <w:tcPr>
            <w:tcW w:type="dxa" w:w="3312"/>
            <w:shd w:fill="F9FAFC"/>
          </w:tcPr>
          <w:p>
            <w:r>
              <w:rPr>
                <w:sz w:val="16"/>
              </w:rPr>
              <w:t>CSO Table TBQ02 (Goods by Cargo)</w:t>
            </w:r>
          </w:p>
        </w:tc>
        <w:tc>
          <w:tcPr>
            <w:tcW w:type="dxa" w:w="3312"/>
            <w:shd w:fill="F9FAFC"/>
          </w:tcPr>
          <w:p>
            <w:r>
              <w:rPr>
                <w:sz w:val="16"/>
              </w:rPr>
              <w:t>https://data.cso.ie/table/TBQ02</w:t>
            </w:r>
          </w:p>
        </w:tc>
        <w:tc>
          <w:tcPr>
            <w:tcW w:type="dxa" w:w="3312"/>
            <w:shd w:fill="F9FAFC"/>
          </w:tcPr>
          <w:p>
            <w:r>
              <w:rPr>
                <w:sz w:val="16"/>
              </w:rPr>
              <w:t>Ro-Ro and Lo-Lo cargo tonnages across Irish ports</w:t>
            </w:r>
          </w:p>
        </w:tc>
      </w:tr>
      <w:tr>
        <w:tc>
          <w:tcPr>
            <w:tcW w:type="dxa" w:w="3312"/>
            <w:shd w:fill="FFFFFF"/>
          </w:tcPr>
          <w:p>
            <w:r>
              <w:rPr>
                <w:sz w:val="16"/>
              </w:rPr>
              <w:t>CSO Table TBQ04 (Ro-Ro Units)</w:t>
            </w:r>
          </w:p>
        </w:tc>
        <w:tc>
          <w:tcPr>
            <w:tcW w:type="dxa" w:w="3312"/>
            <w:shd w:fill="FFFFFF"/>
          </w:tcPr>
          <w:p>
            <w:r>
              <w:rPr>
                <w:sz w:val="16"/>
              </w:rPr>
              <w:t>https://data.cso.ie/table/TBQ04</w:t>
            </w:r>
          </w:p>
        </w:tc>
        <w:tc>
          <w:tcPr>
            <w:tcW w:type="dxa" w:w="3312"/>
            <w:shd w:fill="FFFFFF"/>
          </w:tcPr>
          <w:p>
            <w:r>
              <w:rPr>
                <w:sz w:val="16"/>
              </w:rPr>
              <w:t>Accompanied and unaccompanied trailer traffic (C1 Congestion)</w:t>
            </w:r>
          </w:p>
        </w:tc>
      </w:tr>
      <w:tr>
        <w:tc>
          <w:tcPr>
            <w:tcW w:type="dxa" w:w="3312"/>
            <w:shd w:fill="F9FAFC"/>
          </w:tcPr>
          <w:p>
            <w:r>
              <w:rPr>
                <w:sz w:val="16"/>
              </w:rPr>
              <w:t>CSO Table TBQ05 (Trade Regions)</w:t>
            </w:r>
          </w:p>
        </w:tc>
        <w:tc>
          <w:tcPr>
            <w:tcW w:type="dxa" w:w="3312"/>
            <w:shd w:fill="F9FAFC"/>
          </w:tcPr>
          <w:p>
            <w:r>
              <w:rPr>
                <w:sz w:val="16"/>
              </w:rPr>
              <w:t>https://data.cso.ie/table/TBQ05</w:t>
            </w:r>
          </w:p>
        </w:tc>
        <w:tc>
          <w:tcPr>
            <w:tcW w:type="dxa" w:w="3312"/>
            <w:shd w:fill="F9FAFC"/>
          </w:tcPr>
          <w:p>
            <w:r>
              <w:rPr>
                <w:sz w:val="16"/>
              </w:rPr>
              <w:t>Great Britain vs. EU trade flows for Post-Brexit delay calibration</w:t>
            </w:r>
          </w:p>
        </w:tc>
      </w:tr>
      <w:tr>
        <w:tc>
          <w:tcPr>
            <w:tcW w:type="dxa" w:w="3312"/>
            <w:shd w:fill="FFFFFF"/>
          </w:tcPr>
          <w:p>
            <w:r>
              <w:rPr>
                <w:sz w:val="16"/>
              </w:rPr>
              <w:t>EMODnet Marine Vessel Density</w:t>
            </w:r>
          </w:p>
        </w:tc>
        <w:tc>
          <w:tcPr>
            <w:tcW w:type="dxa" w:w="3312"/>
            <w:shd w:fill="FFFFFF"/>
          </w:tcPr>
          <w:p>
            <w:r>
              <w:rPr>
                <w:sz w:val="16"/>
              </w:rPr>
              <w:t>https://emodnet.ec.europa.eu/en/human-activities</w:t>
            </w:r>
          </w:p>
        </w:tc>
        <w:tc>
          <w:tcPr>
            <w:tcW w:type="dxa" w:w="3312"/>
            <w:shd w:fill="FFFFFF"/>
          </w:tcPr>
          <w:p>
            <w:r>
              <w:rPr>
                <w:sz w:val="16"/>
              </w:rPr>
              <w:t>AIS coastal shipping density grids around Irish waters</w:t>
            </w:r>
          </w:p>
        </w:tc>
      </w:tr>
    </w:tbl>
    <w:p>
      <w:pPr>
        <w:spacing w:after="120"/>
      </w:pPr>
    </w:p>
    <w:p>
      <w:pPr>
        <w:spacing w:before="220" w:after="80"/>
      </w:pPr>
      <w:r>
        <w:rPr>
          <w:b/>
          <w:color w:val="102C57"/>
          <w:sz w:val="22"/>
        </w:rPr>
        <w:t>3. Evaluation &amp; Critical Reflection (So What?)</w:t>
      </w:r>
    </w:p>
    <w:p>
      <w:pPr>
        <w:pStyle w:val="ListBullet"/>
        <w:spacing w:after="50"/>
      </w:pPr>
      <w:r>
        <w:rPr>
          <w:b/>
          <w:sz w:val="18"/>
        </w:rPr>
        <w:t xml:space="preserve">Validation of Research Problem: </w:t>
      </w:r>
      <w:r>
        <w:rPr>
          <w:sz w:val="18"/>
        </w:rPr>
        <w:t>The Week 1 baseline simulation empirically validates the core research rationale: without predictive delay awareness, freight hauliers waste an average of 1.27 hours per shipment waiting at terminal gates and customs inspections. This idle burn contributes significantly to fuel waste, excess emissions, and driver wage overhead.</w:t>
      </w:r>
    </w:p>
    <w:p>
      <w:pPr>
        <w:pStyle w:val="ListBullet"/>
        <w:spacing w:after="50"/>
      </w:pPr>
      <w:r>
        <w:rPr>
          <w:b/>
          <w:sz w:val="18"/>
        </w:rPr>
        <w:t xml:space="preserve">Data Availability &amp; Quality: </w:t>
      </w:r>
      <w:r>
        <w:rPr>
          <w:sz w:val="18"/>
        </w:rPr>
        <w:t>Connecting to the live CSO PxStat API confirmed that high-quality, longitudinal quarterly maritime traffic records (2017 to 2026) are openly available for all main Irish commercial ports. This removes a major data acquisition risk for Component 1.</w:t>
      </w:r>
    </w:p>
    <w:p>
      <w:pPr>
        <w:pStyle w:val="ListBullet"/>
        <w:spacing w:after="50"/>
      </w:pPr>
      <w:r>
        <w:rPr>
          <w:b/>
          <w:sz w:val="18"/>
        </w:rPr>
        <w:t xml:space="preserve">Methodological Readiness: </w:t>
      </w:r>
      <w:r>
        <w:rPr>
          <w:sz w:val="18"/>
        </w:rPr>
        <w:t>Having both the road network graph and the baseline FIFO simulator operational in Week 1 provides an immediate benchmark platform against which the machine learning predictions and Pareto route optimizer can be systematically evaluated in subsequent phases.</w:t>
      </w:r>
    </w:p>
    <w:p>
      <w:pPr>
        <w:spacing w:before="220" w:after="80"/>
      </w:pPr>
      <w:r>
        <w:rPr>
          <w:b/>
          <w:color w:val="102C57"/>
          <w:sz w:val="22"/>
        </w:rPr>
        <w:t>4. Action Plan &amp; Next Steps (Now What?)</w:t>
      </w:r>
    </w:p>
    <w:p>
      <w:pPr>
        <w:pStyle w:val="ListBullet"/>
        <w:spacing w:after="50"/>
      </w:pPr>
      <w:r>
        <w:rPr>
          <w:b/>
          <w:sz w:val="18"/>
        </w:rPr>
        <w:t xml:space="preserve">Oral Pitch Delivery (1 October): </w:t>
      </w:r>
      <w:r>
        <w:rPr>
          <w:sz w:val="18"/>
        </w:rPr>
        <w:t>Deliver the timed 1-2 minute project idea pitch to the academic panel and technical peers adhering to the 5-stage framework.</w:t>
      </w:r>
    </w:p>
    <w:p>
      <w:pPr>
        <w:pStyle w:val="ListBullet"/>
        <w:spacing w:after="50"/>
      </w:pPr>
      <w:r>
        <w:rPr>
          <w:b/>
          <w:sz w:val="18"/>
        </w:rPr>
        <w:t xml:space="preserve">Supervisory Review with Dr. Thanos Staikopoulos: </w:t>
      </w:r>
      <w:r>
        <w:rPr>
          <w:sz w:val="18"/>
        </w:rPr>
        <w:t>Present the Week 1 technical accomplishments (CSO data pipeline, corridor graph, baseline simulation benchmark results, and Jupyter notebook) and align on refined SMART objectives.</w:t>
      </w:r>
    </w:p>
    <w:p>
      <w:pPr>
        <w:pStyle w:val="ListBullet"/>
        <w:spacing w:after="50"/>
      </w:pPr>
      <w:r>
        <w:rPr>
          <w:b/>
          <w:sz w:val="18"/>
        </w:rPr>
        <w:t xml:space="preserve">EMODnet &amp; AIS Maritime Ingestion (Week 2): </w:t>
      </w:r>
      <w:r>
        <w:rPr>
          <w:sz w:val="18"/>
        </w:rPr>
        <w:t>Incorporate EMODnet vessel density metrics to augment CSO quarterly data with spatial maritime congestion signals.</w:t>
      </w:r>
    </w:p>
    <w:p>
      <w:pPr>
        <w:pStyle w:val="ListBullet"/>
        <w:spacing w:after="50"/>
      </w:pPr>
      <w:r>
        <w:rPr>
          <w:b/>
          <w:sz w:val="18"/>
        </w:rPr>
        <w:t xml:space="preserve">Customs Generator Calibration (Week 3 / M1): </w:t>
      </w:r>
      <w:r>
        <w:rPr>
          <w:sz w:val="18"/>
        </w:rPr>
        <w:t>Calibrate the synthetic customs clearance delay generator using published CSO trade statistics and literature validation ranges.</w:t>
      </w:r>
    </w:p>
    <w:p>
      <w:pPr>
        <w:spacing w:before="220" w:after="80"/>
      </w:pPr>
      <w:r>
        <w:rPr>
          <w:b/>
          <w:color w:val="102C57"/>
          <w:sz w:val="22"/>
        </w:rPr>
        <w:t>5. Supervisor Meeting Log &amp; Agreed Actions</w:t>
      </w:r>
    </w:p>
    <w:tbl>
      <w:tblPr>
        <w:tblW w:type="auto" w:w="0"/>
        <w:jc w:val="center"/>
        <w:tblLook w:firstColumn="1" w:firstRow="1" w:lastColumn="0" w:lastRow="0" w:noHBand="0" w:noVBand="1" w:val="04A0"/>
      </w:tblPr>
      <w:tblGrid>
        <w:gridCol w:w="4968"/>
        <w:gridCol w:w="4968"/>
      </w:tblGrid>
      <w:tr>
        <w:tc>
          <w:tcPr>
            <w:tcW w:type="dxa" w:w="3168"/>
            <w:shd w:fill="F0F4F8"/>
          </w:tcPr>
          <w:p>
            <w:r>
              <w:rPr>
                <w:b/>
                <w:sz w:val="17"/>
              </w:rPr>
              <w:t>Agenda Items Discussed:</w:t>
            </w:r>
          </w:p>
        </w:tc>
        <w:tc>
          <w:tcPr>
            <w:tcW w:type="dxa" w:w="6768"/>
            <w:shd w:fill="FFFFFF"/>
          </w:tcPr>
          <w:p>
            <w:r>
              <w:rPr>
                <w:sz w:val="17"/>
              </w:rPr>
              <w:t>1. Review of CA2 Proposal, Literature Reference Archive &amp; Ethics Declaration.</w:t>
              <w:br/>
              <w:t>2. Rehearsal and structure of the 1 October Project Pitch.</w:t>
              <w:br/>
              <w:t>3. Demonstration of Week 1 technical deliverables: Git repo, CSO data pipeline, Jupyter notebook, and baseline FIFO simulation benchmark.</w:t>
            </w:r>
          </w:p>
        </w:tc>
      </w:tr>
      <w:tr>
        <w:tc>
          <w:tcPr>
            <w:tcW w:type="dxa" w:w="3168"/>
            <w:shd w:fill="F0F4F8"/>
          </w:tcPr>
          <w:p>
            <w:r>
              <w:rPr>
                <w:b/>
                <w:sz w:val="17"/>
              </w:rPr>
              <w:t>Supervisor Guidance &amp; Feedback:</w:t>
            </w:r>
          </w:p>
        </w:tc>
        <w:tc>
          <w:tcPr>
            <w:tcW w:type="dxa" w:w="6768"/>
            <w:shd w:fill="FFFFFF"/>
          </w:tcPr>
          <w:p>
            <w:r>
              <w:rPr>
                <w:sz w:val="17"/>
              </w:rPr>
              <w:t>- Emphasize the empirical gap between unbuffered spreadsheet planning and predictive optimization.</w:t>
              <w:br/>
              <w:t>- Maintain clean modular separation across the 3 core components.</w:t>
              <w:br/>
              <w:t>- Ensure baseline simulation parameters are transparently grounded in Irish logistics costs.</w:t>
            </w:r>
          </w:p>
        </w:tc>
      </w:tr>
      <w:tr>
        <w:tc>
          <w:tcPr>
            <w:tcW w:type="dxa" w:w="3168"/>
            <w:shd w:fill="F0F4F8"/>
          </w:tcPr>
          <w:p>
            <w:r>
              <w:rPr>
                <w:b/>
                <w:sz w:val="17"/>
              </w:rPr>
              <w:t>Agreed Action Items &amp; Deadlines:</w:t>
            </w:r>
          </w:p>
        </w:tc>
        <w:tc>
          <w:tcPr>
            <w:tcW w:type="dxa" w:w="6768"/>
            <w:shd w:fill="FFFFFF"/>
          </w:tcPr>
          <w:p>
            <w:r>
              <w:rPr>
                <w:sz w:val="17"/>
              </w:rPr>
              <w:t>1. Deliver 1-2 minute pitch on 1 October 2026.</w:t>
              <w:br/>
              <w:t>2. Submit weekly progress updates every Tuesday.</w:t>
              <w:br/>
              <w:t>3. Begin Phase 1 feature engineering on ingested CSO port traffic data.</w:t>
            </w:r>
          </w:p>
        </w:tc>
      </w:tr>
      <w:tr>
        <w:tc>
          <w:tcPr>
            <w:tcW w:type="dxa" w:w="3168"/>
            <w:shd w:fill="F0F4F8"/>
          </w:tcPr>
          <w:p>
            <w:r>
              <w:rPr>
                <w:b/>
                <w:sz w:val="17"/>
              </w:rPr>
              <w:t>Target Date for Next Meeting:</w:t>
            </w:r>
          </w:p>
        </w:tc>
        <w:tc>
          <w:tcPr>
            <w:tcW w:type="dxa" w:w="6768"/>
            <w:shd w:fill="FFFFFF"/>
          </w:tcPr>
          <w:p>
            <w:r>
              <w:rPr>
                <w:sz w:val="17"/>
              </w:rPr>
              <w:t>Week 2 Scheduled Supervision Review (Tuesday, 6 October 2026)</w:t>
            </w:r>
          </w:p>
        </w:tc>
      </w:tr>
    </w:tbl>
    <w:p>
      <w:pPr>
        <w:spacing w:after="120"/>
      </w:pPr>
    </w:p>
    <w:p>
      <w:pPr>
        <w:spacing w:before="220" w:after="80"/>
      </w:pPr>
      <w:r>
        <w:rPr>
          <w:b/>
          <w:color w:val="102C57"/>
          <w:sz w:val="22"/>
        </w:rPr>
        <w:t>6. Project Milestone &amp; Gantt Tracking</w:t>
      </w:r>
    </w:p>
    <w:tbl>
      <w:tblPr>
        <w:tblW w:type="auto" w:w="0"/>
        <w:jc w:val="center"/>
        <w:tblLook w:firstColumn="1" w:firstRow="1" w:lastColumn="0" w:lastRow="0" w:noHBand="0" w:noVBand="1" w:val="04A0"/>
      </w:tblPr>
      <w:tblGrid>
        <w:gridCol w:w="2484"/>
        <w:gridCol w:w="2484"/>
        <w:gridCol w:w="2484"/>
        <w:gridCol w:w="2484"/>
      </w:tblGrid>
      <w:tr>
        <w:tc>
          <w:tcPr>
            <w:tcW w:type="dxa" w:w="2484"/>
            <w:shd w:fill="102C57"/>
          </w:tcPr>
          <w:p>
            <w:r>
              <w:rPr>
                <w:b/>
                <w:color w:val="FFFFFF"/>
                <w:sz w:val="17"/>
              </w:rPr>
              <w:t>Milestone</w:t>
            </w:r>
          </w:p>
        </w:tc>
        <w:tc>
          <w:tcPr>
            <w:tcW w:type="dxa" w:w="2484"/>
            <w:shd w:fill="102C57"/>
          </w:tcPr>
          <w:p>
            <w:r>
              <w:rPr>
                <w:b/>
                <w:color w:val="FFFFFF"/>
                <w:sz w:val="17"/>
              </w:rPr>
              <w:t>Target Week</w:t>
            </w:r>
          </w:p>
        </w:tc>
        <w:tc>
          <w:tcPr>
            <w:tcW w:type="dxa" w:w="2484"/>
            <w:shd w:fill="102C57"/>
          </w:tcPr>
          <w:p>
            <w:r>
              <w:rPr>
                <w:b/>
                <w:color w:val="FFFFFF"/>
                <w:sz w:val="17"/>
              </w:rPr>
              <w:t>Current Status</w:t>
            </w:r>
          </w:p>
        </w:tc>
        <w:tc>
          <w:tcPr>
            <w:tcW w:type="dxa" w:w="2484"/>
            <w:shd w:fill="102C57"/>
          </w:tcPr>
          <w:p>
            <w:r>
              <w:rPr>
                <w:b/>
                <w:color w:val="FFFFFF"/>
                <w:sz w:val="17"/>
              </w:rPr>
              <w:t>Deliverable Summary</w:t>
            </w:r>
          </w:p>
        </w:tc>
      </w:tr>
      <w:tr>
        <w:tc>
          <w:tcPr>
            <w:tcW w:type="dxa" w:w="2484"/>
            <w:shd w:fill="FFFFFF"/>
          </w:tcPr>
          <w:p>
            <w:r>
              <w:rPr>
                <w:sz w:val="16"/>
              </w:rPr>
              <w:t>Milestone 1 (M1)</w:t>
            </w:r>
          </w:p>
        </w:tc>
        <w:tc>
          <w:tcPr>
            <w:tcW w:type="dxa" w:w="2484"/>
            <w:shd w:fill="FFFFFF"/>
          </w:tcPr>
          <w:p>
            <w:r>
              <w:rPr>
                <w:sz w:val="16"/>
              </w:rPr>
              <w:t>Week 3</w:t>
            </w:r>
          </w:p>
        </w:tc>
        <w:tc>
          <w:tcPr>
            <w:tcW w:type="dxa" w:w="2484"/>
            <w:shd w:fill="FFFFFF"/>
          </w:tcPr>
          <w:p>
            <w:r>
              <w:rPr>
                <w:b/>
                <w:color w:val="008000"/>
                <w:sz w:val="16"/>
              </w:rPr>
              <w:t>ADVANCED / ON SCHEDULE</w:t>
            </w:r>
          </w:p>
        </w:tc>
        <w:tc>
          <w:tcPr>
            <w:tcW w:type="dxa" w:w="2484"/>
            <w:shd w:fill="FFFFFF"/>
          </w:tcPr>
          <w:p>
            <w:r>
              <w:rPr>
                <w:sz w:val="16"/>
              </w:rPr>
              <w:t>Baseline FIFO model operational; CSO maritime data ingested; corridor graph built</w:t>
            </w:r>
          </w:p>
        </w:tc>
      </w:tr>
      <w:tr>
        <w:tc>
          <w:tcPr>
            <w:tcW w:type="dxa" w:w="2484"/>
            <w:shd w:fill="F9FAFC"/>
          </w:tcPr>
          <w:p>
            <w:r>
              <w:rPr>
                <w:sz w:val="16"/>
              </w:rPr>
              <w:t>Milestone 2 (M2)</w:t>
            </w:r>
          </w:p>
        </w:tc>
        <w:tc>
          <w:tcPr>
            <w:tcW w:type="dxa" w:w="2484"/>
            <w:shd w:fill="F9FAFC"/>
          </w:tcPr>
          <w:p>
            <w:r>
              <w:rPr>
                <w:sz w:val="16"/>
              </w:rPr>
              <w:t>Week 9</w:t>
            </w:r>
          </w:p>
        </w:tc>
        <w:tc>
          <w:tcPr>
            <w:tcW w:type="dxa" w:w="2484"/>
            <w:shd w:fill="F9FAFC"/>
          </w:tcPr>
          <w:p>
            <w:r>
              <w:rPr>
                <w:sz w:val="16"/>
              </w:rPr>
              <w:t>PLANNED</w:t>
            </w:r>
          </w:p>
        </w:tc>
        <w:tc>
          <w:tcPr>
            <w:tcW w:type="dxa" w:w="2484"/>
            <w:shd w:fill="F9FAFC"/>
          </w:tcPr>
          <w:p>
            <w:r>
              <w:rPr>
                <w:sz w:val="16"/>
              </w:rPr>
              <w:t>XGBoost models (C1, C2) coupled with Pareto Optimizer (C3)</w:t>
            </w:r>
          </w:p>
        </w:tc>
      </w:tr>
      <w:tr>
        <w:tc>
          <w:tcPr>
            <w:tcW w:type="dxa" w:w="2484"/>
            <w:shd w:fill="FFFFFF"/>
          </w:tcPr>
          <w:p>
            <w:r>
              <w:rPr>
                <w:sz w:val="16"/>
              </w:rPr>
              <w:t>Milestone 3 (M3)</w:t>
            </w:r>
          </w:p>
        </w:tc>
        <w:tc>
          <w:tcPr>
            <w:tcW w:type="dxa" w:w="2484"/>
            <w:shd w:fill="FFFFFF"/>
          </w:tcPr>
          <w:p>
            <w:r>
              <w:rPr>
                <w:sz w:val="16"/>
              </w:rPr>
              <w:t>Week 13</w:t>
            </w:r>
          </w:p>
        </w:tc>
        <w:tc>
          <w:tcPr>
            <w:tcW w:type="dxa" w:w="2484"/>
            <w:shd w:fill="FFFFFF"/>
          </w:tcPr>
          <w:p>
            <w:r>
              <w:rPr>
                <w:sz w:val="16"/>
              </w:rPr>
              <w:t>PLANNED</w:t>
            </w:r>
          </w:p>
        </w:tc>
        <w:tc>
          <w:tcPr>
            <w:tcW w:type="dxa" w:w="2484"/>
            <w:shd w:fill="FFFFFF"/>
          </w:tcPr>
          <w:p>
            <w:r>
              <w:rPr>
                <w:sz w:val="16"/>
              </w:rPr>
              <w:t>Dual-system comparative evaluation &amp; Streamlit UI dashboard</w:t>
            </w:r>
          </w:p>
        </w:tc>
      </w:tr>
      <w:tr>
        <w:tc>
          <w:tcPr>
            <w:tcW w:type="dxa" w:w="2484"/>
            <w:shd w:fill="F9FAFC"/>
          </w:tcPr>
          <w:p>
            <w:r>
              <w:rPr>
                <w:sz w:val="16"/>
              </w:rPr>
              <w:t>Milestone 4 (M4)</w:t>
            </w:r>
          </w:p>
        </w:tc>
        <w:tc>
          <w:tcPr>
            <w:tcW w:type="dxa" w:w="2484"/>
            <w:shd w:fill="F9FAFC"/>
          </w:tcPr>
          <w:p>
            <w:r>
              <w:rPr>
                <w:sz w:val="16"/>
              </w:rPr>
              <w:t>Week 15</w:t>
            </w:r>
          </w:p>
        </w:tc>
        <w:tc>
          <w:tcPr>
            <w:tcW w:type="dxa" w:w="2484"/>
            <w:shd w:fill="F9FAFC"/>
          </w:tcPr>
          <w:p>
            <w:r>
              <w:rPr>
                <w:sz w:val="16"/>
              </w:rPr>
              <w:t>PLANNED</w:t>
            </w:r>
          </w:p>
        </w:tc>
        <w:tc>
          <w:tcPr>
            <w:tcW w:type="dxa" w:w="2484"/>
            <w:shd w:fill="F9FAFC"/>
          </w:tcPr>
          <w:p>
            <w:r>
              <w:rPr>
                <w:sz w:val="16"/>
              </w:rPr>
              <w:t>Final MSc Dissertation, code repository, and Viva Voce</w:t>
            </w:r>
          </w:p>
        </w:tc>
      </w:tr>
    </w:tbl>
    <w:p>
      <w:pPr>
        <w:spacing w:after="160"/>
      </w:pPr>
    </w:p>
    <w:p>
      <w:pPr>
        <w:spacing w:before="220" w:after="80"/>
      </w:pPr>
      <w:r>
        <w:rPr>
          <w:b/>
          <w:color w:val="102C57"/>
          <w:sz w:val="22"/>
        </w:rPr>
        <w:t>7. Formal Declaration &amp; Sign-Off</w:t>
      </w:r>
    </w:p>
    <w:p>
      <w:r>
        <w:rPr>
          <w:sz w:val="18"/>
        </w:rPr>
        <w:t>Student Signature: Rohitkumar Amritlal Jaiswal                      Date: 29 September 2026</w:t>
        <w:br/>
        <w:br/>
        <w:t>Supervisor Signature: ___________________________                   Date: ___________________________</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