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Theoretical/Key Notes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SRGAN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behavior of optimization-based super-resolution methods is principally driven by the choice of the objective function.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PSNR is the common measure for comparison, so we need to maximise that as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