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2160" w:firstLine="0"/>
        <w:rPr>
          <w:rFonts w:ascii="Impact" w:cs="Impact" w:eastAsia="Impact" w:hAnsi="Impact"/>
          <w:u w:val="single"/>
        </w:rPr>
      </w:pPr>
      <w:bookmarkStart w:colFirst="0" w:colLast="0" w:name="_ewq324wl756u" w:id="0"/>
      <w:bookmarkEnd w:id="0"/>
      <w:r w:rsidDel="00000000" w:rsidR="00000000" w:rsidRPr="00000000">
        <w:rPr>
          <w:rFonts w:ascii="Impact" w:cs="Impact" w:eastAsia="Impact" w:hAnsi="Impact"/>
          <w:u w:val="single"/>
          <w:rtl w:val="0"/>
        </w:rPr>
        <w:t xml:space="preserve">Report OF Analysis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Overall Churn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Churn Rate:</w:t>
      </w:r>
      <w:r w:rsidDel="00000000" w:rsidR="00000000" w:rsidRPr="00000000">
        <w:rPr>
          <w:rtl w:val="0"/>
        </w:rPr>
        <w:t xml:space="preserve"> 26.54% of all customers have left (“Churn = Yes”), while 73.46% remain active.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Senior Citizen vs. Non-Senior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Citizens (age 65+):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Represent roughly 16% of your base.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33.1%</w:t>
      </w:r>
      <w:r w:rsidDel="00000000" w:rsidR="00000000" w:rsidRPr="00000000">
        <w:rPr>
          <w:rtl w:val="0"/>
        </w:rPr>
        <w:t xml:space="preserve"> of senior customers churned, compared to </w:t>
      </w:r>
      <w:r w:rsidDel="00000000" w:rsidR="00000000" w:rsidRPr="00000000">
        <w:rPr>
          <w:b w:val="1"/>
          <w:rtl w:val="0"/>
        </w:rPr>
        <w:t xml:space="preserve">66.9%</w:t>
      </w:r>
      <w:r w:rsidDel="00000000" w:rsidR="00000000" w:rsidRPr="00000000">
        <w:rPr>
          <w:rtl w:val="0"/>
        </w:rPr>
        <w:t xml:space="preserve"> who stayed.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Non-Senior Customers: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up the remaining 84%.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b w:val="1"/>
          <w:rtl w:val="0"/>
        </w:rPr>
        <w:t xml:space="preserve">24.8%</w:t>
      </w:r>
      <w:r w:rsidDel="00000000" w:rsidR="00000000" w:rsidRPr="00000000">
        <w:rPr>
          <w:rtl w:val="0"/>
        </w:rPr>
        <w:t xml:space="preserve"> churned, while </w:t>
      </w:r>
      <w:r w:rsidDel="00000000" w:rsidR="00000000" w:rsidRPr="00000000">
        <w:rPr>
          <w:b w:val="1"/>
          <w:rtl w:val="0"/>
        </w:rPr>
        <w:t xml:space="preserve">75.2%</w:t>
      </w:r>
      <w:r w:rsidDel="00000000" w:rsidR="00000000" w:rsidRPr="00000000">
        <w:rPr>
          <w:rtl w:val="0"/>
        </w:rPr>
        <w:t xml:space="preserve"> stayed.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Implication:</w:t>
      </w:r>
      <w:r w:rsidDel="00000000" w:rsidR="00000000" w:rsidRPr="00000000">
        <w:rPr>
          <w:rtl w:val="0"/>
        </w:rPr>
        <w:t xml:space="preserve"> Senior customers are about 34% more likely to leave than younger 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Tenure Distribution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Customers grouped by months with the company show a steep drop-off early:</w:t>
        <w:br w:type="textWrapping"/>
      </w:r>
    </w:p>
    <w:tbl>
      <w:tblPr>
        <w:tblStyle w:val="Table1"/>
        <w:tblW w:w="67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1895"/>
        <w:gridCol w:w="2900"/>
        <w:tblGridChange w:id="0">
          <w:tblGrid>
            <w:gridCol w:w="1925"/>
            <w:gridCol w:w="1895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Tenure (months)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Rate within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0–2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12.3%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40.2%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3–6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31.5%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7–12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18.1%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22.8%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13–24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20.4%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15.6%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25–48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17.8%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10.4%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15.7%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6.7%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Nearly half of all churn occurs within the first six months (0–6 mo), with the highest churn (40.2%) in the 0–2 mo bucket. After 24 mo, churn rates fall below 11%.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Contract Type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Month-to-Month: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Account for 55% of customers.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42.5%</w:t>
      </w:r>
      <w:r w:rsidDel="00000000" w:rsidR="00000000" w:rsidRPr="00000000">
        <w:rPr>
          <w:rtl w:val="0"/>
        </w:rPr>
        <w:t xml:space="preserve"> of them churned.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One-Year Contracts: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27% of customers; only </w:t>
      </w:r>
      <w:r w:rsidDel="00000000" w:rsidR="00000000" w:rsidRPr="00000000">
        <w:rPr>
          <w:b w:val="1"/>
          <w:rtl w:val="0"/>
        </w:rPr>
        <w:t xml:space="preserve">11.3%</w:t>
      </w:r>
      <w:r w:rsidDel="00000000" w:rsidR="00000000" w:rsidRPr="00000000">
        <w:rPr>
          <w:rtl w:val="0"/>
        </w:rPr>
        <w:t xml:space="preserve"> churned.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Two-Year Contracts: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18% of customers; just </w:t>
      </w:r>
      <w:r w:rsidDel="00000000" w:rsidR="00000000" w:rsidRPr="00000000">
        <w:rPr>
          <w:b w:val="1"/>
          <w:rtl w:val="0"/>
        </w:rPr>
        <w:t xml:space="preserve">3.2%</w:t>
      </w:r>
      <w:r w:rsidDel="00000000" w:rsidR="00000000" w:rsidRPr="00000000">
        <w:rPr>
          <w:rtl w:val="0"/>
        </w:rPr>
        <w:t xml:space="preserve"> churned.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Recommendation:</w:t>
      </w:r>
      <w:r w:rsidDel="00000000" w:rsidR="00000000" w:rsidRPr="00000000">
        <w:rPr>
          <w:rtl w:val="0"/>
        </w:rPr>
        <w:t xml:space="preserve"> Incentivize multi-year plans—customers locked into longer contracts churn much less.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Service Bundles &amp; Internet Type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Add-on Services (e.g., Tech Support, Online Backup):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Churn rate ≈ </w:t>
      </w:r>
      <w:r w:rsidDel="00000000" w:rsidR="00000000" w:rsidRPr="00000000">
        <w:rPr>
          <w:b w:val="1"/>
          <w:rtl w:val="0"/>
        </w:rPr>
        <w:t xml:space="preserve">35%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b w:val="1"/>
          <w:rtl w:val="0"/>
        </w:rPr>
        <w:t xml:space="preserve">14%</w:t>
      </w:r>
      <w:r w:rsidDel="00000000" w:rsidR="00000000" w:rsidRPr="00000000">
        <w:rPr>
          <w:rtl w:val="0"/>
        </w:rPr>
        <w:t xml:space="preserve"> for those with at least one add-on.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&amp; Security Packages: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subscribing to StreamingTV or DeviceProtection churn at </w:t>
      </w:r>
      <w:r w:rsidDel="00000000" w:rsidR="00000000" w:rsidRPr="00000000">
        <w:rPr>
          <w:b w:val="1"/>
          <w:rtl w:val="0"/>
        </w:rPr>
        <w:t xml:space="preserve">~18%</w:t>
      </w:r>
      <w:r w:rsidDel="00000000" w:rsidR="00000000" w:rsidRPr="00000000">
        <w:rPr>
          <w:rtl w:val="0"/>
        </w:rPr>
        <w:t xml:space="preserve">, whereas non-subscribers churn at </w:t>
      </w:r>
      <w:r w:rsidDel="00000000" w:rsidR="00000000" w:rsidRPr="00000000">
        <w:rPr>
          <w:b w:val="1"/>
          <w:rtl w:val="0"/>
        </w:rPr>
        <w:t xml:space="preserve">~29%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Service: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Fiber Optic:</w:t>
      </w:r>
      <w:r w:rsidDel="00000000" w:rsidR="00000000" w:rsidRPr="00000000">
        <w:rPr>
          <w:rtl w:val="0"/>
        </w:rPr>
        <w:t xml:space="preserve"> Churn = </w:t>
      </w:r>
      <w:r w:rsidDel="00000000" w:rsidR="00000000" w:rsidRPr="00000000">
        <w:rPr>
          <w:b w:val="1"/>
          <w:rtl w:val="0"/>
        </w:rPr>
        <w:t xml:space="preserve">32.5%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DSL:</w:t>
      </w:r>
      <w:r w:rsidDel="00000000" w:rsidR="00000000" w:rsidRPr="00000000">
        <w:rPr>
          <w:rtl w:val="0"/>
        </w:rPr>
        <w:t xml:space="preserve"> Churn = </w:t>
      </w:r>
      <w:r w:rsidDel="00000000" w:rsidR="00000000" w:rsidRPr="00000000">
        <w:rPr>
          <w:b w:val="1"/>
          <w:rtl w:val="0"/>
        </w:rPr>
        <w:t xml:space="preserve">19.8%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Takeaway:</w:t>
      </w:r>
      <w:r w:rsidDel="00000000" w:rsidR="00000000" w:rsidRPr="00000000">
        <w:rPr>
          <w:rtl w:val="0"/>
        </w:rPr>
        <w:t xml:space="preserve"> Bundling services and promoting reliable DSL can help lower churn.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Payment Method</w:t>
      </w:r>
    </w:p>
    <w:tbl>
      <w:tblPr>
        <w:tblStyle w:val="Table2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1895"/>
        <w:gridCol w:w="1445"/>
        <w:tblGridChange w:id="0">
          <w:tblGrid>
            <w:gridCol w:w="2300"/>
            <w:gridCol w:w="1895"/>
            <w:gridCol w:w="14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Payment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 of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Churn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Electronic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28.4%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44.1%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Mailed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26.8%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Bank Transfer (Auto)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23.7%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12.2%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Credit Card (Auto)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23.8%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11.5%</w:t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Encourage automatic payments (bank transfer or credit card) to reduce the very high churn among Electronic Check users.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k921n4rog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Recommendations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Early-Tenure Focus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Onboarding Campaigns</w:t>
      </w:r>
      <w:r w:rsidDel="00000000" w:rsidR="00000000" w:rsidRPr="00000000">
        <w:rPr>
          <w:rtl w:val="0"/>
        </w:rPr>
        <w:t xml:space="preserve"> targeting 0–2 month customers (where churn is 40%)—e.g., welcome calls, limited-time discounts.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Senior-Citizen Outreach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Dedicated support line or simplified plans to address the 33% churn in this segment.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 Incentives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graduated discounts or added features for 1- and 2-year sign-ups to shift customers away from month-to-month.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Bundling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Package popular add-ons (TechSupport, Streaming) at a slight discount to raise bundle adoption from its current rate (~45%) and improve stickiness.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Method Shift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Incentivize switching from Electronic Check to AutoPay (e.g., one-time credit) to lower churn by up to 32 percentage points.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prioritizing these initiatives—especially for at-risk cohorts in the first two months, senior citizens, and electronic-check payers—you can materially drive down your overall churn rate from 26.5% closer to the 15–20% range.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