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Orders — Data Quality Contract</w:t>
      </w:r>
    </w:p>
    <w:p>
      <w:r>
        <w:rPr>
          <w:b/>
        </w:rPr>
        <w:t xml:space="preserve">Prepared for: </w:t>
      </w:r>
      <w:r>
        <w:t>RabTech Academy Internship Project</w:t>
        <w:br/>
      </w:r>
      <w:r>
        <w:rPr>
          <w:b/>
        </w:rPr>
        <w:t xml:space="preserve">Dataset: </w:t>
      </w:r>
      <w:r>
        <w:t>retail-orders-raw.csv</w:t>
        <w:br/>
      </w:r>
      <w:r>
        <w:rPr>
          <w:b/>
        </w:rPr>
        <w:t xml:space="preserve">Version: </w:t>
      </w:r>
      <w:r>
        <w:t>1.0 — Draft for business-owner review</w:t>
      </w:r>
    </w:p>
    <w:p>
      <w:pPr>
        <w:pStyle w:val="Heading1"/>
      </w:pPr>
      <w:r>
        <w:t>1. Purpose</w:t>
      </w:r>
    </w:p>
    <w:p>
      <w:r>
        <w:t>This contract defines measurable expectations for the retail orders dataset so that KPIs are accurate, consistent, and fit for business decisions. It identifies required fields, validation rules, failure thresholds, ownership, and escalation actions. Rules should be confirmed with the decision owner before production use.</w:t>
      </w:r>
    </w:p>
    <w:p>
      <w:pPr>
        <w:pStyle w:val="Heading1"/>
      </w:pPr>
      <w:r>
        <w:t>2. Scope and decision use</w:t>
      </w:r>
    </w:p>
    <w:p>
      <w:r>
        <w:t>The dataset contains order identifier, order date, customer segment, city, product category, quantity, unit price, discount percentage, and payment status. It may support sales, order-volume, and payment-status reporting after quality issues are resolved.</w:t>
      </w:r>
    </w:p>
    <w:p>
      <w:pPr>
        <w:pStyle w:val="Heading1"/>
      </w:pPr>
      <w:r>
        <w:t>3. Roles and ownership</w:t>
      </w:r>
    </w:p>
    <w:p>
      <w:pPr>
        <w:pStyle w:val="ListBullet"/>
      </w:pPr>
      <w:r>
        <w:t>Business decision owner: Sales Operations lead (to be assigned by the organization).</w:t>
      </w:r>
    </w:p>
    <w:p>
      <w:pPr>
        <w:pStyle w:val="ListBullet"/>
      </w:pPr>
      <w:r>
        <w:t>Data owner: Team responsible for the source order records and corrections.</w:t>
      </w:r>
    </w:p>
    <w:p>
      <w:pPr>
        <w:pStyle w:val="ListBullet"/>
      </w:pPr>
      <w:r>
        <w:t>Data analyst: Runs profiling, documents failures, calculates approved KPIs, and maintains evidence.</w:t>
      </w:r>
    </w:p>
    <w:p>
      <w:pPr>
        <w:pStyle w:val="ListBullet"/>
      </w:pPr>
      <w:r>
        <w:t>Finance/Payments owner: Confirms payment-status definitions and payment-related KPI treatment.</w:t>
      </w:r>
    </w:p>
    <w:p>
      <w:pPr>
        <w:pStyle w:val="Heading1"/>
      </w:pPr>
      <w:r>
        <w:t>4. Data-quality rules and thresholds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Dimension / Field</w:t>
            </w:r>
          </w:p>
        </w:tc>
        <w:tc>
          <w:tcPr>
            <w:tcW w:type="dxa" w:w="1728"/>
          </w:tcPr>
          <w:p>
            <w:r>
              <w:t>Rule</w:t>
            </w:r>
          </w:p>
        </w:tc>
        <w:tc>
          <w:tcPr>
            <w:tcW w:type="dxa" w:w="1728"/>
          </w:tcPr>
          <w:p>
            <w:r>
              <w:t>Failure threshold</w:t>
            </w:r>
          </w:p>
        </w:tc>
        <w:tc>
          <w:tcPr>
            <w:tcW w:type="dxa" w:w="1728"/>
          </w:tcPr>
          <w:p>
            <w:r>
              <w:t>Observed in sample</w:t>
            </w:r>
          </w:p>
        </w:tc>
        <w:tc>
          <w:tcPr>
            <w:tcW w:type="dxa" w:w="1728"/>
          </w:tcPr>
          <w:p>
            <w:r>
              <w:t>Action</w:t>
            </w:r>
          </w:p>
        </w:tc>
      </w:tr>
      <w:tr>
        <w:tc>
          <w:tcPr>
            <w:tcW w:type="dxa" w:w="1728"/>
          </w:tcPr>
          <w:p>
            <w:r>
              <w:t>Completeness — order_id</w:t>
            </w:r>
          </w:p>
        </w:tc>
        <w:tc>
          <w:tcPr>
            <w:tcW w:type="dxa" w:w="1728"/>
          </w:tcPr>
          <w:p>
            <w:r>
              <w:t>Required and non-empty</w:t>
            </w:r>
          </w:p>
        </w:tc>
        <w:tc>
          <w:tcPr>
            <w:tcW w:type="dxa" w:w="1728"/>
          </w:tcPr>
          <w:p>
            <w:r>
              <w:t>Any missing value</w:t>
            </w:r>
          </w:p>
        </w:tc>
        <w:tc>
          <w:tcPr>
            <w:tcW w:type="dxa" w:w="1728"/>
          </w:tcPr>
          <w:p>
            <w:r>
              <w:t>0 missing in sample</w:t>
            </w:r>
          </w:p>
        </w:tc>
        <w:tc>
          <w:tcPr>
            <w:tcW w:type="dxa" w:w="1728"/>
          </w:tcPr>
          <w:p>
            <w:r>
              <w:t>Block KPI refresh until corrected.</w:t>
            </w:r>
          </w:p>
        </w:tc>
      </w:tr>
      <w:tr>
        <w:tc>
          <w:tcPr>
            <w:tcW w:type="dxa" w:w="1728"/>
          </w:tcPr>
          <w:p>
            <w:r>
              <w:t>Uniqueness — order_id</w:t>
            </w:r>
          </w:p>
        </w:tc>
        <w:tc>
          <w:tcPr>
            <w:tcW w:type="dxa" w:w="1728"/>
          </w:tcPr>
          <w:p>
            <w:r>
              <w:t>One record per order ID, unless source grain is explicitly different</w:t>
            </w:r>
          </w:p>
        </w:tc>
        <w:tc>
          <w:tcPr>
            <w:tcW w:type="dxa" w:w="1728"/>
          </w:tcPr>
          <w:p>
            <w:r>
              <w:t>Any duplicate business key</w:t>
            </w:r>
          </w:p>
        </w:tc>
        <w:tc>
          <w:tcPr>
            <w:tcW w:type="dxa" w:w="1728"/>
          </w:tcPr>
          <w:p>
            <w:r>
              <w:t>RT-1004 appears twice</w:t>
            </w:r>
          </w:p>
        </w:tc>
        <w:tc>
          <w:tcPr>
            <w:tcW w:type="dxa" w:w="1728"/>
          </w:tcPr>
          <w:p>
            <w:r>
              <w:t>Investigate source; do not drop duplicates without confirmation.</w:t>
            </w:r>
          </w:p>
        </w:tc>
      </w:tr>
      <w:tr>
        <w:tc>
          <w:tcPr>
            <w:tcW w:type="dxa" w:w="1728"/>
          </w:tcPr>
          <w:p>
            <w:r>
              <w:t>Validity — order_date</w:t>
            </w:r>
          </w:p>
        </w:tc>
        <w:tc>
          <w:tcPr>
            <w:tcW w:type="dxa" w:w="1728"/>
          </w:tcPr>
          <w:p>
            <w:r>
              <w:t>Required ISO date, 2025-01-01 through current date</w:t>
            </w:r>
          </w:p>
        </w:tc>
        <w:tc>
          <w:tcPr>
            <w:tcW w:type="dxa" w:w="1728"/>
          </w:tcPr>
          <w:p>
            <w:r>
              <w:t>Any missing, malformed, invalid, or out-of-range date</w:t>
            </w:r>
          </w:p>
        </w:tc>
        <w:tc>
          <w:tcPr>
            <w:tcW w:type="dxa" w:w="1728"/>
          </w:tcPr>
          <w:p>
            <w:r>
              <w:t>One missing; 03/01/2026 non-ISO; 2026-13-10 invalid</w:t>
            </w:r>
          </w:p>
        </w:tc>
        <w:tc>
          <w:tcPr>
            <w:tcW w:type="dxa" w:w="1728"/>
          </w:tcPr>
          <w:p>
            <w:r>
              <w:t>Correct from source and rerun checks.</w:t>
            </w:r>
          </w:p>
        </w:tc>
      </w:tr>
      <w:tr>
        <w:tc>
          <w:tcPr>
            <w:tcW w:type="dxa" w:w="1728"/>
          </w:tcPr>
          <w:p>
            <w:r>
              <w:t>Completeness — city</w:t>
            </w:r>
          </w:p>
        </w:tc>
        <w:tc>
          <w:tcPr>
            <w:tcW w:type="dxa" w:w="1728"/>
          </w:tcPr>
          <w:p>
            <w:r>
              <w:t>Required non-empty text</w:t>
            </w:r>
          </w:p>
        </w:tc>
        <w:tc>
          <w:tcPr>
            <w:tcW w:type="dxa" w:w="1728"/>
          </w:tcPr>
          <w:p>
            <w:r>
              <w:t>Any missing value</w:t>
            </w:r>
          </w:p>
        </w:tc>
        <w:tc>
          <w:tcPr>
            <w:tcW w:type="dxa" w:w="1728"/>
          </w:tcPr>
          <w:p>
            <w:r>
              <w:t>One missing</w:t>
            </w:r>
          </w:p>
        </w:tc>
        <w:tc>
          <w:tcPr>
            <w:tcW w:type="dxa" w:w="1728"/>
          </w:tcPr>
          <w:p>
            <w:r>
              <w:t>Recover from source or quarantine record for city analysis.</w:t>
            </w:r>
          </w:p>
        </w:tc>
      </w:tr>
      <w:tr>
        <w:tc>
          <w:tcPr>
            <w:tcW w:type="dxa" w:w="1728"/>
          </w:tcPr>
          <w:p>
            <w:r>
              <w:t>Validity — quantity</w:t>
            </w:r>
          </w:p>
        </w:tc>
        <w:tc>
          <w:tcPr>
            <w:tcW w:type="dxa" w:w="1728"/>
          </w:tcPr>
          <w:p>
            <w:r>
              <w:t>Whole number greater than zero</w:t>
            </w:r>
          </w:p>
        </w:tc>
        <w:tc>
          <w:tcPr>
            <w:tcW w:type="dxa" w:w="1728"/>
          </w:tcPr>
          <w:p>
            <w:r>
              <w:t>Any non-numeric, fractional, zero, or negative value</w:t>
            </w:r>
          </w:p>
        </w:tc>
        <w:tc>
          <w:tcPr>
            <w:tcW w:type="dxa" w:w="1728"/>
          </w:tcPr>
          <w:p>
            <w:r>
              <w:t>-1 and text “two”</w:t>
            </w:r>
          </w:p>
        </w:tc>
        <w:tc>
          <w:tcPr>
            <w:tcW w:type="dxa" w:w="1728"/>
          </w:tcPr>
          <w:p>
            <w:r>
              <w:t>Block sales/units KPIs for affected records; correct at source.</w:t>
            </w:r>
          </w:p>
        </w:tc>
      </w:tr>
      <w:tr>
        <w:tc>
          <w:tcPr>
            <w:tcW w:type="dxa" w:w="1728"/>
          </w:tcPr>
          <w:p>
            <w:r>
              <w:t>Validity — unit_price</w:t>
            </w:r>
          </w:p>
        </w:tc>
        <w:tc>
          <w:tcPr>
            <w:tcW w:type="dxa" w:w="1728"/>
          </w:tcPr>
          <w:p>
            <w:r>
              <w:t>Non-negative INR amount</w:t>
            </w:r>
          </w:p>
        </w:tc>
        <w:tc>
          <w:tcPr>
            <w:tcW w:type="dxa" w:w="1728"/>
          </w:tcPr>
          <w:p>
            <w:r>
              <w:t>Any missing, non-numeric, or negative value</w:t>
            </w:r>
          </w:p>
        </w:tc>
        <w:tc>
          <w:tcPr>
            <w:tcW w:type="dxa" w:w="1728"/>
          </w:tcPr>
          <w:p>
            <w:r>
              <w:t>No issue observed in sample</w:t>
            </w:r>
          </w:p>
        </w:tc>
        <w:tc>
          <w:tcPr>
            <w:tcW w:type="dxa" w:w="1728"/>
          </w:tcPr>
          <w:p>
            <w:r>
              <w:t>Validate against product/pricing source.</w:t>
            </w:r>
          </w:p>
        </w:tc>
      </w:tr>
      <w:tr>
        <w:tc>
          <w:tcPr>
            <w:tcW w:type="dxa" w:w="1728"/>
          </w:tcPr>
          <w:p>
            <w:r>
              <w:t>Validity — discount_pct</w:t>
            </w:r>
          </w:p>
        </w:tc>
        <w:tc>
          <w:tcPr>
            <w:tcW w:type="dxa" w:w="1728"/>
          </w:tcPr>
          <w:p>
            <w:r>
              <w:t>0 to 100 inclusive; missing requires documented justification</w:t>
            </w:r>
          </w:p>
        </w:tc>
        <w:tc>
          <w:tcPr>
            <w:tcW w:type="dxa" w:w="1728"/>
          </w:tcPr>
          <w:p>
            <w:r>
              <w:t>Any value outside range; missing requires review</w:t>
            </w:r>
          </w:p>
        </w:tc>
        <w:tc>
          <w:tcPr>
            <w:tcW w:type="dxa" w:w="1728"/>
          </w:tcPr>
          <w:p>
            <w:r>
              <w:t>One missing; one value 105</w:t>
            </w:r>
          </w:p>
        </w:tc>
        <w:tc>
          <w:tcPr>
            <w:tcW w:type="dxa" w:w="1728"/>
          </w:tcPr>
          <w:p>
            <w:r>
              <w:t>Do not assume missing means zero; correct 105 from source.</w:t>
            </w:r>
          </w:p>
        </w:tc>
      </w:tr>
      <w:tr>
        <w:tc>
          <w:tcPr>
            <w:tcW w:type="dxa" w:w="1728"/>
          </w:tcPr>
          <w:p>
            <w:r>
              <w:t>Consistency — customer_segment</w:t>
            </w:r>
          </w:p>
        </w:tc>
        <w:tc>
          <w:tcPr>
            <w:tcW w:type="dxa" w:w="1728"/>
          </w:tcPr>
          <w:p>
            <w:r>
              <w:t>Student, Fresher, or Professional after trim/case normalization</w:t>
            </w:r>
          </w:p>
        </w:tc>
        <w:tc>
          <w:tcPr>
            <w:tcW w:type="dxa" w:w="1728"/>
          </w:tcPr>
          <w:p>
            <w:r>
              <w:t>Any unmapped value after normalization</w:t>
            </w:r>
          </w:p>
        </w:tc>
        <w:tc>
          <w:tcPr>
            <w:tcW w:type="dxa" w:w="1728"/>
          </w:tcPr>
          <w:p>
            <w:r>
              <w:t>Student/student capitalization differs</w:t>
            </w:r>
          </w:p>
        </w:tc>
        <w:tc>
          <w:tcPr>
            <w:tcW w:type="dxa" w:w="1728"/>
          </w:tcPr>
          <w:p>
            <w:r>
              <w:t>Normalize known case variants; flag unknown values.</w:t>
            </w:r>
          </w:p>
        </w:tc>
      </w:tr>
      <w:tr>
        <w:tc>
          <w:tcPr>
            <w:tcW w:type="dxa" w:w="1728"/>
          </w:tcPr>
          <w:p>
            <w:r>
              <w:t>Consistency — category</w:t>
            </w:r>
          </w:p>
        </w:tc>
        <w:tc>
          <w:tcPr>
            <w:tcW w:type="dxa" w:w="1728"/>
          </w:tcPr>
          <w:p>
            <w:r>
              <w:t>Learning Kit, Course Access, or Mentor Session</w:t>
            </w:r>
          </w:p>
        </w:tc>
        <w:tc>
          <w:tcPr>
            <w:tcW w:type="dxa" w:w="1728"/>
          </w:tcPr>
          <w:p>
            <w:r>
              <w:t>Any unmapped value after normalization</w:t>
            </w:r>
          </w:p>
        </w:tc>
        <w:tc>
          <w:tcPr>
            <w:tcW w:type="dxa" w:w="1728"/>
          </w:tcPr>
          <w:p>
            <w:r>
              <w:t>No unexpected category observed</w:t>
            </w:r>
          </w:p>
        </w:tc>
        <w:tc>
          <w:tcPr>
            <w:tcW w:type="dxa" w:w="1728"/>
          </w:tcPr>
          <w:p>
            <w:r>
              <w:t>Map only known variants and flag unknown values.</w:t>
            </w:r>
          </w:p>
        </w:tc>
      </w:tr>
      <w:tr>
        <w:tc>
          <w:tcPr>
            <w:tcW w:type="dxa" w:w="1728"/>
          </w:tcPr>
          <w:p>
            <w:r>
              <w:t>Consistency — payment_status</w:t>
            </w:r>
          </w:p>
        </w:tc>
        <w:tc>
          <w:tcPr>
            <w:tcW w:type="dxa" w:w="1728"/>
          </w:tcPr>
          <w:p>
            <w:r>
              <w:t>Paid, Pending, Failed, or Refunded after normalization</w:t>
            </w:r>
          </w:p>
        </w:tc>
        <w:tc>
          <w:tcPr>
            <w:tcW w:type="dxa" w:w="1728"/>
          </w:tcPr>
          <w:p>
            <w:r>
              <w:t>Any unmapped value after normalization</w:t>
            </w:r>
          </w:p>
        </w:tc>
        <w:tc>
          <w:tcPr>
            <w:tcW w:type="dxa" w:w="1728"/>
          </w:tcPr>
          <w:p>
            <w:r>
              <w:t>Paid/paid capitalization differs</w:t>
            </w:r>
          </w:p>
        </w:tc>
        <w:tc>
          <w:tcPr>
            <w:tcW w:type="dxa" w:w="1728"/>
          </w:tcPr>
          <w:p>
            <w:r>
              <w:t>Normalize known case variants; flag unknown values.</w:t>
            </w:r>
          </w:p>
        </w:tc>
      </w:tr>
      <w:tr>
        <w:tc>
          <w:tcPr>
            <w:tcW w:type="dxa" w:w="1728"/>
          </w:tcPr>
          <w:p>
            <w:r>
              <w:t>Freshness — dataset refresh</w:t>
            </w:r>
          </w:p>
        </w:tc>
        <w:tc>
          <w:tcPr>
            <w:tcW w:type="dxa" w:w="1728"/>
          </w:tcPr>
          <w:p>
            <w:r>
              <w:t>Daily refresh is proposed; ingestion timestamp should be recorded</w:t>
            </w:r>
          </w:p>
        </w:tc>
        <w:tc>
          <w:tcPr>
            <w:tcW w:type="dxa" w:w="1728"/>
          </w:tcPr>
          <w:p>
            <w:r>
              <w:t>Refresh later than agreed schedule; initial proposal: &gt;24 hours overdue</w:t>
            </w:r>
          </w:p>
        </w:tc>
        <w:tc>
          <w:tcPr>
            <w:tcW w:type="dxa" w:w="1728"/>
          </w:tcPr>
          <w:p>
            <w:r>
              <w:t>Cannot test from CSV alone; no refresh timestamp provided</w:t>
            </w:r>
          </w:p>
        </w:tc>
        <w:tc>
          <w:tcPr>
            <w:tcW w:type="dxa" w:w="1728"/>
          </w:tcPr>
          <w:p>
            <w:r>
              <w:t>Add ingestion timestamp and alert data owner when late.</w:t>
            </w:r>
          </w:p>
        </w:tc>
      </w:tr>
    </w:tbl>
    <w:p>
      <w:r>
        <w:t>Note: “Any failure” thresholds are intentionally strict for required identifiers and validity rules. Freshness is not testable from the supplied CSV because it has no ingestion/refresh timestamp. The 24-hour threshold is a proposed service level and must be approved by the data owner.</w:t>
      </w:r>
    </w:p>
    <w:p>
      <w:pPr>
        <w:pStyle w:val="Heading1"/>
      </w:pPr>
      <w:r>
        <w:t>5. KPI publication gate</w:t>
      </w:r>
    </w:p>
    <w:p>
      <w:r>
        <w:t>Official KPI publication should be paused when critical fields or business keys fail validation, until the data owner either corrects the source or formally approves an exception. Provisional calculations may be produced for analysis only when clearly labeled and accompanied by exclusions and caveats.</w:t>
      </w:r>
    </w:p>
    <w:p>
      <w:pPr>
        <w:pStyle w:val="Heading1"/>
      </w:pPr>
      <w:r>
        <w:t>6. Escalation procedure</w:t>
      </w:r>
    </w:p>
    <w:p>
      <w:pPr>
        <w:pStyle w:val="ListNumber"/>
      </w:pPr>
      <w:r>
        <w:t>Detect: Run the profiling notebook on each refresh and generate the quality-check report.</w:t>
      </w:r>
    </w:p>
    <w:p>
      <w:pPr>
        <w:pStyle w:val="ListNumber"/>
      </w:pPr>
      <w:r>
        <w:t>Log: Record the failed rule, column, affected records, refresh date, and severity.</w:t>
      </w:r>
    </w:p>
    <w:p>
      <w:pPr>
        <w:pStyle w:val="ListNumber"/>
      </w:pPr>
      <w:r>
        <w:t>Notify: Alert the data owner and business decision owner for critical failures; notify Finance/Payments for payment-status issues.</w:t>
      </w:r>
    </w:p>
    <w:p>
      <w:pPr>
        <w:pStyle w:val="ListNumber"/>
      </w:pPr>
      <w:r>
        <w:t>Investigate: Trace the issue to the source system, manual entry, transformation, or mapping logic.</w:t>
      </w:r>
    </w:p>
    <w:p>
      <w:pPr>
        <w:pStyle w:val="ListNumber"/>
      </w:pPr>
      <w:r>
        <w:t>Resolve: Correct the source or transformation. Do not silently invent dates, quantities, discounts, or customer details.</w:t>
      </w:r>
    </w:p>
    <w:p>
      <w:pPr>
        <w:pStyle w:val="ListNumber"/>
      </w:pPr>
      <w:r>
        <w:t>Revalidate: Rerun the notebook and retain the passing report as evidence.</w:t>
      </w:r>
    </w:p>
    <w:p>
      <w:pPr>
        <w:pStyle w:val="ListNumber"/>
      </w:pPr>
      <w:r>
        <w:t>Close: Document the root cause, correction, approver, and any accepted exception.</w:t>
      </w:r>
    </w:p>
    <w:p>
      <w:pPr>
        <w:pStyle w:val="Heading1"/>
      </w:pPr>
      <w:r>
        <w:t>7. Initial sample findings</w:t>
      </w:r>
    </w:p>
    <w:p>
      <w:r>
        <w:t>The supplied sample has 12 rows and 9 columns. Initial inspection found the following issues to resolve:</w:t>
      </w:r>
    </w:p>
    <w:p>
      <w:pPr>
        <w:pStyle w:val="ListBullet"/>
      </w:pPr>
      <w:r>
        <w:t>Repeated order identifier: RT-1004 appears twice.</w:t>
      </w:r>
    </w:p>
    <w:p>
      <w:pPr>
        <w:pStyle w:val="ListBullet"/>
      </w:pPr>
      <w:r>
        <w:t>Missing values: one order_date, one city, and one discount_pct.</w:t>
      </w:r>
    </w:p>
    <w:p>
      <w:pPr>
        <w:pStyle w:val="ListBullet"/>
      </w:pPr>
      <w:r>
        <w:t>Date issues: one non-ISO date string (03/01/2026) and one impossible date (2026-13-10).</w:t>
      </w:r>
    </w:p>
    <w:p>
      <w:pPr>
        <w:pStyle w:val="ListBullet"/>
      </w:pPr>
      <w:r>
        <w:t>Quantity issues: one negative quantity (-1) and one non-numeric value (“two”).</w:t>
      </w:r>
    </w:p>
    <w:p>
      <w:pPr>
        <w:pStyle w:val="ListBullet"/>
      </w:pPr>
      <w:r>
        <w:t>Discount issue: 105%, above the allowed maximum of 100%.</w:t>
      </w:r>
    </w:p>
    <w:p>
      <w:pPr>
        <w:pStyle w:val="ListBullet"/>
      </w:pPr>
      <w:r>
        <w:t>Case inconsistency: customer segment “Student”/“student” and payment status “Paid”/“paid”.</w:t>
      </w:r>
    </w:p>
    <w:p>
      <w:pPr>
        <w:pStyle w:val="Heading1"/>
      </w:pPr>
      <w:r>
        <w:t>8. Sign-off</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Approval date / status</w:t>
            </w:r>
          </w:p>
        </w:tc>
      </w:tr>
      <w:tr>
        <w:tc>
          <w:tcPr>
            <w:tcW w:type="dxa" w:w="2880"/>
          </w:tcPr>
          <w:p>
            <w:r>
              <w:t>Business decision owner</w:t>
            </w:r>
          </w:p>
        </w:tc>
        <w:tc>
          <w:tcPr>
            <w:tcW w:type="dxa" w:w="2880"/>
          </w:tcPr>
          <w:p>
            <w:r>
              <w:t>To be assigned</w:t>
            </w:r>
          </w:p>
        </w:tc>
        <w:tc>
          <w:tcPr>
            <w:tcW w:type="dxa" w:w="2880"/>
          </w:tcPr>
          <w:p>
            <w:r>
              <w:t>Pending approval</w:t>
            </w:r>
          </w:p>
        </w:tc>
      </w:tr>
      <w:tr>
        <w:tc>
          <w:tcPr>
            <w:tcW w:type="dxa" w:w="2880"/>
          </w:tcPr>
          <w:p>
            <w:r>
              <w:t>Data owner</w:t>
            </w:r>
          </w:p>
        </w:tc>
        <w:tc>
          <w:tcPr>
            <w:tcW w:type="dxa" w:w="2880"/>
          </w:tcPr>
          <w:p>
            <w:r>
              <w:t>To be assigned</w:t>
            </w:r>
          </w:p>
        </w:tc>
        <w:tc>
          <w:tcPr>
            <w:tcW w:type="dxa" w:w="2880"/>
          </w:tcPr>
          <w:p>
            <w:r>
              <w:t>Pending approval</w:t>
            </w:r>
          </w:p>
        </w:tc>
      </w:tr>
    </w:tbl>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