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Settlement Policy</w:t>
      </w:r>
    </w:p>
    <w:p>
      <w:pPr>
        <w:pStyle w:val="Author"/>
      </w:pPr>
      <w:r>
        <w:t xml:space="preserve">Vidyanidhi Education Finance Limited</w:t>
      </w:r>
    </w:p>
    <w:p>
      <w:pPr>
        <w:pStyle w:val="Date"/>
      </w:pPr>
      <w:r>
        <w:t xml:space="preserve">Current version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ettlement-eligibility"/>
    <w:p>
      <w:pPr>
        <w:pStyle w:val="Heading2"/>
      </w:pPr>
      <w:r>
        <w:t xml:space="preserve">1.1 Settlement eligibility</w:t>
      </w:r>
    </w:p>
    <w:p>
      <w:pPr>
        <w:pStyle w:val="FirstParagraph"/>
      </w:pPr>
      <w:r>
        <w:t xml:space="preserve">A settlement is an agreement to accept less than the full contractual dues in</w:t>
      </w:r>
      <w:r>
        <w:t xml:space="preserve"> </w:t>
      </w:r>
      <w:r>
        <w:t xml:space="preserve">final discharge of the loan.</w:t>
      </w:r>
    </w:p>
    <w:p>
      <w:pPr>
        <w:pStyle w:val="BodyText"/>
      </w:pPr>
      <w:r>
        <w:t xml:space="preserve">A settlement requires</w:t>
      </w:r>
      <w:r>
        <w:t xml:space="preserve"> </w:t>
      </w:r>
      <w:r>
        <w:rPr>
          <w:b/>
          <w:bCs/>
        </w:rPr>
        <w:t xml:space="preserve">more than ninety days past due</w:t>
      </w:r>
      <w:r>
        <w:t xml:space="preserve">, that is ninety-one days</w:t>
      </w:r>
      <w:r>
        <w:t xml:space="preserve"> </w:t>
      </w:r>
      <w:r>
        <w:t xml:space="preserve">or more. It requires that the account has already been handed over to the</w:t>
      </w:r>
      <w:r>
        <w:t xml:space="preserve"> </w:t>
      </w:r>
      <w:r>
        <w:t xml:space="preserve">collections team under Collections SOP 5.1.</w:t>
      </w:r>
      <w:r>
        <w:t xml:space="preserve"> </w:t>
      </w:r>
      <w:r>
        <w:rPr>
          <w:b/>
          <w:bCs/>
        </w:rPr>
        <w:t xml:space="preserve">It is forbidden while the account</w:t>
      </w:r>
      <w:r>
        <w:rPr>
          <w:b/>
          <w:bCs/>
        </w:rPr>
        <w:t xml:space="preserve"> </w:t>
      </w:r>
      <w:r>
        <w:rPr>
          <w:b/>
          <w:bCs/>
        </w:rPr>
        <w:t xml:space="preserve">is in moratorium.</w:t>
      </w:r>
    </w:p>
    <w:p>
      <w:pPr>
        <w:pStyle w:val="BodyText"/>
      </w:pPr>
      <w:r>
        <w:t xml:space="preserve">The ninety-one day threshold is deliberately set past the point at which the</w:t>
      </w:r>
      <w:r>
        <w:t xml:space="preserve"> </w:t>
      </w:r>
      <w:r>
        <w:t xml:space="preserve">account becomes a non-performing asset under Collections SOP 2.1. Settlement is</w:t>
      </w:r>
      <w:r>
        <w:t xml:space="preserve"> </w:t>
      </w:r>
      <w:r>
        <w:t xml:space="preserve">not a servicing tool for a merely delinquent account; where the borrower can</w:t>
      </w:r>
      <w:r>
        <w:t xml:space="preserve"> </w:t>
      </w:r>
      <w:r>
        <w:t xml:space="preserve">resume paying, the restructuring options under the Restructuring Policy are the</w:t>
      </w:r>
      <w:r>
        <w:t xml:space="preserve"> </w:t>
      </w:r>
      <w:r>
        <w:t xml:space="preserve">correct route and must be considered first.</w:t>
      </w:r>
    </w:p>
    <w:p>
      <w:pPr>
        <w:pStyle w:val="BodyText"/>
      </w:pPr>
      <w:r>
        <w:t xml:space="preserve">Approval authority for a settlement is not fixed by this section. It follows the</w:t>
      </w:r>
      <w:r>
        <w:t xml:space="preserve"> </w:t>
      </w:r>
      <w:r>
        <w:t xml:space="preserve">waiver being sought, under the approval matrix in section 2. A settlement whose</w:t>
      </w:r>
      <w:r>
        <w:t xml:space="preserve"> </w:t>
      </w:r>
      <w:r>
        <w:t xml:space="preserve">waiver has no authorised approver is refused, however small the shortfall.</w:t>
      </w:r>
    </w:p>
    <w:p>
      <w:pPr>
        <w:pStyle w:val="BodyText"/>
      </w:pPr>
      <w:r>
        <w:t xml:space="preserve">A settlement must be justified in writing on the account file, stating what</w:t>
      </w:r>
      <w:r>
        <w:t xml:space="preserve"> </w:t>
      </w:r>
      <w:r>
        <w:t xml:space="preserve">recovery is realistically expected without it, and what has already been</w:t>
      </w:r>
      <w:r>
        <w:t xml:space="preserve"> </w:t>
      </w:r>
      <w:r>
        <w:t xml:space="preserve">attempted. An expected-recovery figure that is not supported by evidence on the</w:t>
      </w:r>
      <w:r>
        <w:t xml:space="preserve"> </w:t>
      </w:r>
      <w:r>
        <w:t xml:space="preserve">file is not a justification.</w:t>
      </w:r>
    </w:p>
    <w:p>
      <w:pPr>
        <w:pStyle w:val="BodyText"/>
      </w:pPr>
      <w:r>
        <w:t xml:space="preserve">A settled account is reported to credit information companies as settled, not as</w:t>
      </w:r>
      <w:r>
        <w:t xml:space="preserve"> </w:t>
      </w:r>
      <w:r>
        <w:t xml:space="preserve">closed. Staff must not represent otherwise to the borrower.</w:t>
      </w:r>
    </w:p>
    <w:bookmarkEnd w:id="9"/>
    <w:bookmarkStart w:id="10" w:name="independence-of-the-approving-authority"/>
    <w:p>
      <w:pPr>
        <w:pStyle w:val="Heading2"/>
      </w:pPr>
      <w:r>
        <w:t xml:space="preserve">1.2 Independence of the approving authority</w:t>
      </w:r>
    </w:p>
    <w:p>
      <w:pPr>
        <w:pStyle w:val="FirstParagraph"/>
      </w:pPr>
      <w:r>
        <w:t xml:space="preserve">The authority approving a settlement must be independent of the authority that</w:t>
      </w:r>
      <w:r>
        <w:t xml:space="preserve"> </w:t>
      </w:r>
      <w:r>
        <w:t xml:space="preserve">sanctioned the loan.</w:t>
      </w:r>
    </w:p>
    <w:p>
      <w:pPr>
        <w:pStyle w:val="BodyText"/>
      </w:pPr>
      <w:r>
        <w:t xml:space="preserve">Paragraph 16(5)(i) of the RBI (NBFC – Resolution of Stressed Assets) Directions,</w:t>
      </w:r>
      <w:r>
        <w:t xml:space="preserve"> </w:t>
      </w:r>
      <w:r>
        <w:t xml:space="preserve">2025 requires that the power to approve a compromise settlement rests with an</w:t>
      </w:r>
      <w:r>
        <w:t xml:space="preserve"> </w:t>
      </w:r>
      <w:r>
        <w:t xml:space="preserve">authority — individual or committee —</w:t>
      </w:r>
      <w:r>
        <w:t xml:space="preserve"> </w:t>
      </w:r>
      <w:r>
        <w:rPr>
          <w:b/>
          <w:bCs/>
        </w:rPr>
        <w:t xml:space="preserve">at least one level higher in hierarchy</w:t>
      </w:r>
      <w:r>
        <w:t xml:space="preserve"> </w:t>
      </w:r>
      <w:r>
        <w:t xml:space="preserve">than the authority vested with power to sanction the credit exposure.</w:t>
      </w:r>
    </w:p>
    <w:p>
      <w:pPr>
        <w:pStyle w:val="BodyText"/>
      </w:pPr>
      <w:r>
        <w:t xml:space="preserve">It further provides that any official who was part of sanctioning the loan,</w:t>
      </w:r>
      <w:r>
        <w:t xml:space="preserve"> </w:t>
      </w:r>
      <w:r>
        <w:t xml:space="preserve">whether as an individual or as part of a committee,</w:t>
      </w:r>
      <w:r>
        <w:t xml:space="preserve"> </w:t>
      </w:r>
      <w:r>
        <w:rPr>
          <w:b/>
          <w:bCs/>
        </w:rPr>
        <w:t xml:space="preserve">shall not be part of</w:t>
      </w:r>
      <w:r>
        <w:rPr>
          <w:b/>
          <w:bCs/>
        </w:rPr>
        <w:t xml:space="preserve"> </w:t>
      </w:r>
      <w:r>
        <w:rPr>
          <w:b/>
          <w:bCs/>
        </w:rPr>
        <w:t xml:space="preserve">approving the compromise settlement of that same loan account, in any capacity</w:t>
      </w:r>
      <w:r>
        <w:t xml:space="preserve">.</w:t>
      </w:r>
    </w:p>
    <w:p>
      <w:pPr>
        <w:pStyle w:val="BodyText"/>
      </w:pPr>
      <w:r>
        <w:t xml:space="preserve">Two consequences for this portfolio.</w:t>
      </w:r>
    </w:p>
    <w:p>
      <w:pPr>
        <w:pStyle w:val="BodyText"/>
      </w:pPr>
      <w:r>
        <w:t xml:space="preserve">First, the waiver slabs in section 2 set a floor, not the answer. A waiver of</w:t>
      </w:r>
      <w:r>
        <w:t xml:space="preserve"> </w:t>
      </w:r>
      <w:r>
        <w:t xml:space="preserve">Rs 20,000 falls to a manager under section 2.1, but if a manager sanctioned the</w:t>
      </w:r>
      <w:r>
        <w:t xml:space="preserve"> </w:t>
      </w:r>
      <w:r>
        <w:t xml:space="preserve">loan then the approval must rise at least one level regardless of the amount.</w:t>
      </w:r>
    </w:p>
    <w:p>
      <w:pPr>
        <w:pStyle w:val="BodyText"/>
      </w:pPr>
      <w:r>
        <w:t xml:space="preserve">Second,</w:t>
      </w:r>
      <w:r>
        <w:t xml:space="preserve"> </w:t>
      </w:r>
      <w:r>
        <w:t xml:space="preserve">“in any capacity”</w:t>
      </w:r>
      <w:r>
        <w:t xml:space="preserve"> </w:t>
      </w:r>
      <w:r>
        <w:t xml:space="preserve">is absolute. The original sanctioner may not vote, may</w:t>
      </w:r>
      <w:r>
        <w:t xml:space="preserve"> </w:t>
      </w:r>
      <w:r>
        <w:t xml:space="preserve">not chair, may not be co-opted as a subject expert, and may not be counted toward</w:t>
      </w:r>
      <w:r>
        <w:t xml:space="preserve"> </w:t>
      </w:r>
      <w:r>
        <w:t xml:space="preserve">quorum. Providing factual information about the account on request is not</w:t>
      </w:r>
      <w:r>
        <w:t xml:space="preserve"> </w:t>
      </w:r>
      <w:r>
        <w:t xml:space="preserve">participation in the approval; being in the room when it is decided is.</w:t>
      </w:r>
    </w:p>
    <w:p>
      <w:pPr>
        <w:pStyle w:val="BodyText"/>
      </w:pPr>
      <w:r>
        <w:t xml:space="preserve">The approval record must name the sanctioning authority and the approving</w:t>
      </w:r>
      <w:r>
        <w:t xml:space="preserve"> </w:t>
      </w:r>
      <w:r>
        <w:t xml:space="preserve">authority, so independence is auditable after the fact rather than asserted at</w:t>
      </w:r>
      <w:r>
        <w:t xml:space="preserve"> </w:t>
      </w:r>
      <w:r>
        <w:t xml:space="preserve">the time.</w:t>
      </w:r>
    </w:p>
    <w:bookmarkEnd w:id="10"/>
    <w:bookmarkStart w:id="11" w:name="interest-waiver-up-to-rs-25000"/>
    <w:p>
      <w:pPr>
        <w:pStyle w:val="Heading2"/>
      </w:pPr>
      <w:r>
        <w:t xml:space="preserve">2.1 Interest waiver up to Rs 25,000</w:t>
      </w:r>
    </w:p>
    <w:p>
      <w:pPr>
        <w:pStyle w:val="FirstParagraph"/>
      </w:pPr>
      <w:r>
        <w:t xml:space="preserve">An interest waiver of up to Rs 25,000 may be approved by a</w:t>
      </w:r>
      <w:r>
        <w:t xml:space="preserve"> </w:t>
      </w:r>
      <w:r>
        <w:rPr>
          <w:b/>
          <w:bCs/>
        </w:rPr>
        <w:t xml:space="preserve">manager</w:t>
      </w:r>
      <w:r>
        <w:t xml:space="preserve">.</w:t>
      </w:r>
    </w:p>
    <w:p>
      <w:pPr>
        <w:pStyle w:val="BodyText"/>
      </w:pPr>
      <w:r>
        <w:t xml:space="preserve">The slab is read on the total interest amount waived in the settlement, not on</w:t>
      </w:r>
      <w:r>
        <w:t xml:space="preserve"> </w:t>
      </w:r>
      <w:r>
        <w:t xml:space="preserve">the shortfall against total dues and not on the outstanding principal. Where a</w:t>
      </w:r>
      <w:r>
        <w:t xml:space="preserve"> </w:t>
      </w:r>
      <w:r>
        <w:t xml:space="preserve">settlement waives interest of Rs 24,000 and no principal, this section applies</w:t>
      </w:r>
      <w:r>
        <w:t xml:space="preserve"> </w:t>
      </w:r>
      <w:r>
        <w:t xml:space="preserve">and a manager may approve it.</w:t>
      </w:r>
    </w:p>
    <w:p>
      <w:pPr>
        <w:pStyle w:val="BodyText"/>
      </w:pPr>
      <w:r>
        <w:t xml:space="preserve">The lower bound of this slab is exclusive of zero and the upper bound inclusive</w:t>
      </w:r>
      <w:r>
        <w:t xml:space="preserve"> </w:t>
      </w:r>
      <w:r>
        <w:t xml:space="preserve">of Rs 25,000. A waiver of exactly Rs 25,000 falls here. A waiver of Rs 25,001</w:t>
      </w:r>
      <w:r>
        <w:t xml:space="preserve"> </w:t>
      </w:r>
      <w:r>
        <w:t xml:space="preserve">falls into section 2.2 and requires the Head of Collections.</w:t>
      </w:r>
    </w:p>
    <w:p>
      <w:pPr>
        <w:pStyle w:val="BodyText"/>
      </w:pPr>
      <w:r>
        <w:t xml:space="preserve">A settlement may not be divided into two smaller settlements, nor a waiver split</w:t>
      </w:r>
      <w:r>
        <w:t xml:space="preserve"> </w:t>
      </w:r>
      <w:r>
        <w:t xml:space="preserve">across two approvals, in order to bring it within a lower slab. Splitting to</w:t>
      </w:r>
      <w:r>
        <w:t xml:space="preserve"> </w:t>
      </w:r>
      <w:r>
        <w:t xml:space="preserve">avoid an approval level is a breach of this policy and is treated as a control</w:t>
      </w:r>
      <w:r>
        <w:t xml:space="preserve"> </w:t>
      </w:r>
      <w:r>
        <w:t xml:space="preserve">failure rather than a procedural error.</w:t>
      </w:r>
    </w:p>
    <w:p>
      <w:pPr>
        <w:pStyle w:val="BodyText"/>
      </w:pPr>
      <w:r>
        <w:t xml:space="preserve">Approval must be recorded against the named individual who gave it, with the date</w:t>
      </w:r>
      <w:r>
        <w:t xml:space="preserve"> </w:t>
      </w:r>
      <w:r>
        <w:t xml:space="preserve">and the amount approved. A departmental or role-level approval with no named</w:t>
      </w:r>
      <w:r>
        <w:t xml:space="preserve"> </w:t>
      </w:r>
      <w:r>
        <w:t xml:space="preserve">approver does not satisfy this section.</w:t>
      </w:r>
    </w:p>
    <w:p>
      <w:pPr>
        <w:pStyle w:val="BodyText"/>
      </w:pPr>
      <w:r>
        <w:t xml:space="preserve">This slab confers authority over interest only. It confers no authority to waive</w:t>
      </w:r>
      <w:r>
        <w:t xml:space="preserve"> </w:t>
      </w:r>
      <w:r>
        <w:t xml:space="preserve">principal in any amount; see section 2.4.</w:t>
      </w:r>
    </w:p>
    <w:bookmarkEnd w:id="11"/>
    <w:bookmarkStart w:id="12" w:name="Xd194caaf5576c8f9c0b8f1c947384747c118902"/>
    <w:p>
      <w:pPr>
        <w:pStyle w:val="Heading2"/>
      </w:pPr>
      <w:r>
        <w:t xml:space="preserve">2.2 Interest waiver above Rs 25,000 and up to Rs 1,00,000</w:t>
      </w:r>
    </w:p>
    <w:p>
      <w:pPr>
        <w:pStyle w:val="FirstParagraph"/>
      </w:pPr>
      <w:r>
        <w:t xml:space="preserve">An interest waiver above Rs 25,000 and up to Rs 1,00,000 requires approval by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Head of Collections</w:t>
      </w:r>
      <w:r>
        <w:t xml:space="preserve">.</w:t>
      </w:r>
    </w:p>
    <w:p>
      <w:pPr>
        <w:pStyle w:val="BodyText"/>
      </w:pPr>
      <w:r>
        <w:t xml:space="preserve">The bounds are exclusive at the lower end and inclusive at the upper end. A</w:t>
      </w:r>
      <w:r>
        <w:t xml:space="preserve"> </w:t>
      </w:r>
      <w:r>
        <w:t xml:space="preserve">waiver of Rs 25,001 falls here; a waiver of exactly Rs 1,00,000 falls here; a</w:t>
      </w:r>
      <w:r>
        <w:t xml:space="preserve"> </w:t>
      </w:r>
      <w:r>
        <w:t xml:space="preserve">waiver of Rs 1,00,001 escalates to the committee under section 2.3.</w:t>
      </w:r>
    </w:p>
    <w:p>
      <w:pPr>
        <w:pStyle w:val="BodyText"/>
      </w:pPr>
      <w:r>
        <w:t xml:space="preserve">A manager may not approve a waiver in this band, and may not approve a waiver in</w:t>
      </w:r>
      <w:r>
        <w:t xml:space="preserve"> </w:t>
      </w:r>
      <w:r>
        <w:t xml:space="preserve">this band by obtaining verbal concurrence from the Head of Collections. The</w:t>
      </w:r>
      <w:r>
        <w:t xml:space="preserve"> </w:t>
      </w:r>
      <w:r>
        <w:t xml:space="preserve">approval must be given and recorded by the Head personally.</w:t>
      </w:r>
    </w:p>
    <w:p>
      <w:pPr>
        <w:pStyle w:val="BodyText"/>
      </w:pPr>
      <w:r>
        <w:t xml:space="preserve">The written justification required by section 1.1 must, at this level, also state</w:t>
      </w:r>
      <w:r>
        <w:t xml:space="preserve"> </w:t>
      </w:r>
      <w:r>
        <w:t xml:space="preserve">what has been recovered on the account to date and what security or co-applicant</w:t>
      </w:r>
      <w:r>
        <w:t xml:space="preserve"> </w:t>
      </w:r>
      <w:r>
        <w:t xml:space="preserve">recourse exists. A settlement at this level where co-applicant recourse has not</w:t>
      </w:r>
      <w:r>
        <w:t xml:space="preserve"> </w:t>
      </w:r>
      <w:r>
        <w:t xml:space="preserve">been tested requires that test to be documented before approval.</w:t>
      </w:r>
    </w:p>
    <w:p>
      <w:pPr>
        <w:pStyle w:val="BodyText"/>
      </w:pPr>
      <w:r>
        <w:t xml:space="preserve">This slab confers authority over interest only, in any amount within the band. It</w:t>
      </w:r>
      <w:r>
        <w:t xml:space="preserve"> </w:t>
      </w:r>
      <w:r>
        <w:t xml:space="preserve">confers no authority to waive principal; see section 2.4.</w:t>
      </w:r>
    </w:p>
    <w:bookmarkEnd w:id="12"/>
    <w:bookmarkStart w:id="13" w:name="interest-waiver-above-rs-100000"/>
    <w:p>
      <w:pPr>
        <w:pStyle w:val="Heading2"/>
      </w:pPr>
      <w:r>
        <w:t xml:space="preserve">2.3 Interest waiver above Rs 1,00,000</w:t>
      </w:r>
    </w:p>
    <w:p>
      <w:pPr>
        <w:pStyle w:val="FirstParagraph"/>
      </w:pPr>
      <w:r>
        <w:t xml:space="preserve">An interest waiver above Rs 1,00,000 requires approval by the</w:t>
      </w:r>
      <w:r>
        <w:t xml:space="preserve"> </w:t>
      </w:r>
      <w:r>
        <w:rPr>
          <w:b/>
          <w:bCs/>
        </w:rPr>
        <w:t xml:space="preserve">Credit</w:t>
      </w:r>
      <w:r>
        <w:rPr>
          <w:b/>
          <w:bCs/>
        </w:rPr>
        <w:t xml:space="preserve"> </w:t>
      </w:r>
      <w:r>
        <w:rPr>
          <w:b/>
          <w:bCs/>
        </w:rPr>
        <w:t xml:space="preserve">Committee</w:t>
      </w:r>
      <w:r>
        <w:t xml:space="preserve">. There is no upper limit to this slab; every waiver above Rs 1,00,000</w:t>
      </w:r>
      <w:r>
        <w:t xml:space="preserve"> </w:t>
      </w:r>
      <w:r>
        <w:t xml:space="preserve">falls here, however large.</w:t>
      </w:r>
    </w:p>
    <w:p>
      <w:pPr>
        <w:pStyle w:val="BodyText"/>
      </w:pPr>
      <w:r>
        <w:t xml:space="preserve">Committee approval requires a written case circulated in advance, containing the</w:t>
      </w:r>
      <w:r>
        <w:t xml:space="preserve"> </w:t>
      </w:r>
      <w:r>
        <w:t xml:space="preserve">account history, the recovery attempted, the expected recovery with and without</w:t>
      </w:r>
      <w:r>
        <w:t xml:space="preserve"> </w:t>
      </w:r>
      <w:r>
        <w:t xml:space="preserve">the settlement, and the co-applicant position. The committee’s decision and its</w:t>
      </w:r>
      <w:r>
        <w:t xml:space="preserve"> </w:t>
      </w:r>
      <w:r>
        <w:t xml:space="preserve">reasons are minuted.</w:t>
      </w:r>
    </w:p>
    <w:p>
      <w:pPr>
        <w:pStyle w:val="BodyText"/>
      </w:pPr>
      <w:r>
        <w:t xml:space="preserve">No individual, including the Head of Collections, may approve a waiver in this</w:t>
      </w:r>
      <w:r>
        <w:t xml:space="preserve"> </w:t>
      </w:r>
      <w:r>
        <w:t xml:space="preserve">band alone or in advance of the committee. An urgent commercial need is not a</w:t>
      </w:r>
      <w:r>
        <w:t xml:space="preserve"> </w:t>
      </w:r>
      <w:r>
        <w:t xml:space="preserve">ground for bypassing the committee; if the timing is genuinely urgent, the</w:t>
      </w:r>
      <w:r>
        <w:t xml:space="preserve"> </w:t>
      </w:r>
      <w:r>
        <w:t xml:space="preserve">committee is convened.</w:t>
      </w:r>
    </w:p>
    <w:p>
      <w:pPr>
        <w:pStyle w:val="BodyText"/>
      </w:pPr>
      <w:r>
        <w:t xml:space="preserve">A committee approval is valid for the specific settlement put to it, at the</w:t>
      </w:r>
      <w:r>
        <w:t xml:space="preserve"> </w:t>
      </w:r>
      <w:r>
        <w:t xml:space="preserve">amount put to it. If the borrower subsequently negotiates a larger waiver, the</w:t>
      </w:r>
      <w:r>
        <w:t xml:space="preserve"> </w:t>
      </w:r>
      <w:r>
        <w:t xml:space="preserve">case returns to the committee; the earlier approval does not stretch to cover it.</w:t>
      </w:r>
    </w:p>
    <w:p>
      <w:pPr>
        <w:pStyle w:val="BodyText"/>
      </w:pPr>
      <w:r>
        <w:t xml:space="preserve">Where the committee declines, the account returns to normal collections handling.</w:t>
      </w:r>
      <w:r>
        <w:t xml:space="preserve"> </w:t>
      </w:r>
      <w:r>
        <w:t xml:space="preserve">A declined settlement is not a bar to a later proposal, but the later proposal</w:t>
      </w:r>
      <w:r>
        <w:t xml:space="preserve"> </w:t>
      </w:r>
      <w:r>
        <w:t xml:space="preserve">must state what has changed since the decline, and a proposal that restates the</w:t>
      </w:r>
      <w:r>
        <w:t xml:space="preserve"> </w:t>
      </w:r>
      <w:r>
        <w:t xml:space="preserve">same case in different words must be refused at intake.</w:t>
      </w:r>
    </w:p>
    <w:p>
      <w:pPr>
        <w:pStyle w:val="BodyText"/>
      </w:pPr>
      <w:r>
        <w:t xml:space="preserve">This slab confers authority over interest only. It confers no authority to waive</w:t>
      </w:r>
      <w:r>
        <w:t xml:space="preserve"> </w:t>
      </w:r>
      <w:r>
        <w:t xml:space="preserve">principal in any amount; see section 2.4.</w:t>
      </w:r>
    </w:p>
    <w:bookmarkEnd w:id="13"/>
    <w:bookmarkStart w:id="14" w:name="waiver-of-principal"/>
    <w:p>
      <w:pPr>
        <w:pStyle w:val="Heading2"/>
      </w:pPr>
      <w:r>
        <w:t xml:space="preserve">2.4 Waiver of principal</w:t>
      </w:r>
    </w:p>
    <w:p>
      <w:pPr>
        <w:pStyle w:val="FirstParagraph"/>
      </w:pPr>
      <w:r>
        <w:rPr>
          <w:b/>
          <w:bCs/>
        </w:rPr>
        <w:t xml:space="preserve">No waiver of principal is permitted on this portfolio, in any amount, at any</w:t>
      </w:r>
      <w:r>
        <w:rPr>
          <w:b/>
          <w:bCs/>
        </w:rPr>
        <w:t xml:space="preserve"> </w:t>
      </w:r>
      <w:r>
        <w:rPr>
          <w:b/>
          <w:bCs/>
        </w:rPr>
        <w:t xml:space="preserve">level of approval.</w:t>
      </w:r>
    </w:p>
    <w:p>
      <w:pPr>
        <w:pStyle w:val="BodyText"/>
      </w:pPr>
      <w:r>
        <w:t xml:space="preserve">There is no approval slab for principal. This is not an omission and not a</w:t>
      </w:r>
      <w:r>
        <w:t xml:space="preserve"> </w:t>
      </w:r>
      <w:r>
        <w:t xml:space="preserve">threshold set very high. No person and no committee holds the authority, and the</w:t>
      </w:r>
      <w:r>
        <w:t xml:space="preserve"> </w:t>
      </w:r>
      <w:r>
        <w:t xml:space="preserve">absence of any authorised approver is itself the prohibition.</w:t>
      </w:r>
    </w:p>
    <w:p>
      <w:pPr>
        <w:pStyle w:val="BodyText"/>
      </w:pPr>
      <w:r>
        <w:t xml:space="preserve">A settlement may therefore waive accrued interest within the slabs in sections</w:t>
      </w:r>
      <w:r>
        <w:t xml:space="preserve"> </w:t>
      </w:r>
      <w:r>
        <w:t xml:space="preserve">2.1 to 2.3, and may waive penal charges, but must recover the principal</w:t>
      </w:r>
      <w:r>
        <w:t xml:space="preserve"> </w:t>
      </w:r>
      <w:r>
        <w:t xml:space="preserve">outstanding in full.</w:t>
      </w:r>
    </w:p>
    <w:p>
      <w:pPr>
        <w:pStyle w:val="BodyText"/>
      </w:pPr>
      <w:r>
        <w:t xml:space="preserve">A proposal that reduces principal is refused at intake and is not escalated for</w:t>
      </w:r>
      <w:r>
        <w:t xml:space="preserve"> </w:t>
      </w:r>
      <w:r>
        <w:t xml:space="preserve">consideration. Escalating it invites the appearance that a sufficiently senior</w:t>
      </w:r>
      <w:r>
        <w:t xml:space="preserve"> </w:t>
      </w:r>
      <w:r>
        <w:t xml:space="preserve">approver could grant it, and none can.</w:t>
      </w:r>
    </w:p>
    <w:p>
      <w:pPr>
        <w:pStyle w:val="BodyText"/>
      </w:pPr>
      <w:r>
        <w:t xml:space="preserve">Attempts to achieve the same effect by other means are equally prohibited: a</w:t>
      </w:r>
      <w:r>
        <w:t xml:space="preserve"> </w:t>
      </w:r>
      <w:r>
        <w:t xml:space="preserve">settlement that recovers full principal on paper while waiving an equivalent</w:t>
      </w:r>
      <w:r>
        <w:t xml:space="preserve"> </w:t>
      </w:r>
      <w:r>
        <w:t xml:space="preserve">amount of interest that was never accrued, or a write-off recorded as a</w:t>
      </w:r>
      <w:r>
        <w:t xml:space="preserve"> </w:t>
      </w:r>
      <w:r>
        <w:t xml:space="preserve">collection, is a breach of this section and a misstatement of the accounts.</w:t>
      </w:r>
    </w:p>
    <w:p>
      <w:pPr>
        <w:pStyle w:val="BodyText"/>
      </w:pPr>
      <w:r>
        <w:t xml:space="preserve">Where a principal shortfall is genuinely unrecoverable, the route is write-off</w:t>
      </w:r>
      <w:r>
        <w:t xml:space="preserve"> </w:t>
      </w:r>
      <w:r>
        <w:t xml:space="preserve">under the Board-approved write-off policy, with the accounting and disclosure</w:t>
      </w:r>
      <w:r>
        <w:t xml:space="preserve"> </w:t>
      </w:r>
      <w:r>
        <w:t xml:space="preserve">that entails. It is not a settlement.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Policy</dc:title>
  <dc:creator>Vidyanidhi Education Finance Limited</dc:creator>
  <cp:keywords/>
  <dcterms:created xsi:type="dcterms:W3CDTF">2026-09-23T15:03:59Z</dcterms:created>
  <dcterms:modified xsi:type="dcterms:W3CDTF">2026-09-23T15:03:59Z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Current version</vt:lpwstr>
  </property>
</Properties>
</file>