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Legal Recovery Standard Operating Procedure</w:t>
      </w:r>
    </w:p>
    <w:p>
      <w:pPr>
        <w:pStyle w:val="Author"/>
      </w:pPr>
      <w:r>
        <w:t xml:space="preserve">Vidyanidhi Education Finance Limited</w:t>
      </w:r>
    </w:p>
    <w:p>
      <w:pPr>
        <w:pStyle w:val="Date"/>
      </w:pPr>
      <w:r>
        <w:t xml:space="preserve">Current version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-and-receipt-from-collections"/>
    <w:p>
      <w:pPr>
        <w:pStyle w:val="Heading2"/>
      </w:pPr>
      <w:r>
        <w:t xml:space="preserve">1.1 Scope and receipt from collections</w:t>
      </w:r>
    </w:p>
    <w:p>
      <w:pPr>
        <w:pStyle w:val="FirstParagraph"/>
      </w:pPr>
      <w:r>
        <w:t xml:space="preserve">Legal recovery covers action taken through a court, tribunal or arbitral</w:t>
      </w:r>
      <w:r>
        <w:t xml:space="preserve"> </w:t>
      </w:r>
      <w:r>
        <w:t xml:space="preserve">forum to recover a debt that ordinary collections has not resolved.</w:t>
      </w:r>
    </w:p>
    <w:p>
      <w:pPr>
        <w:pStyle w:val="BodyText"/>
      </w:pPr>
      <w:r>
        <w:t xml:space="preserve">An account is accepted into legal recovery only where it is more than one</w:t>
      </w:r>
      <w:r>
        <w:t xml:space="preserve"> </w:t>
      </w:r>
      <w:r>
        <w:t xml:space="preserve">hundred and eighty days past due, has been handed over to the collections team</w:t>
      </w:r>
      <w:r>
        <w:t xml:space="preserve"> </w:t>
      </w:r>
      <w:r>
        <w:t xml:space="preserve">under Collections SOP 5.1, and at least one field visit has been attempted under</w:t>
      </w:r>
      <w:r>
        <w:t xml:space="preserve"> </w:t>
      </w:r>
      <w:r>
        <w:t xml:space="preserve">Collections SOP 5.2 or the borrower is confirmed untraceable.</w:t>
      </w:r>
    </w:p>
    <w:p>
      <w:pPr>
        <w:pStyle w:val="BodyText"/>
      </w:pPr>
      <w:r>
        <w:t xml:space="preserve">Acceptance is a decision of the Legal team, not a transfer the collections team</w:t>
      </w:r>
      <w:r>
        <w:t xml:space="preserve"> </w:t>
      </w:r>
      <w:r>
        <w:t xml:space="preserve">can make unilaterally. A file that does not meet the three conditions is returned</w:t>
      </w:r>
      <w:r>
        <w:t xml:space="preserve"> </w:t>
      </w:r>
      <w:r>
        <w:t xml:space="preserve">with reasons.</w:t>
      </w:r>
    </w:p>
    <w:p>
      <w:pPr>
        <w:pStyle w:val="BodyText"/>
      </w:pPr>
      <w:r>
        <w:t xml:space="preserve">On acceptance, all collections activity on the account stops. Parallel pursuit by</w:t>
      </w:r>
      <w:r>
        <w:t xml:space="preserve"> </w:t>
      </w:r>
      <w:r>
        <w:t xml:space="preserve">two teams produces inconsistent statements to the borrower, and an inconsistent</w:t>
      </w:r>
      <w:r>
        <w:t xml:space="preserve"> </w:t>
      </w:r>
      <w:r>
        <w:t xml:space="preserve">statement is a gift to opposing counsel.</w:t>
      </w:r>
    </w:p>
    <w:p>
      <w:pPr>
        <w:pStyle w:val="BodyText"/>
      </w:pPr>
      <w:r>
        <w:t xml:space="preserve">The Legal team does not re-open the question of whether the debt is owed. It</w:t>
      </w:r>
      <w:r>
        <w:t xml:space="preserve"> </w:t>
      </w:r>
      <w:r>
        <w:t xml:space="preserve">takes the outstanding position as recorded and tests whether it is recoverable</w:t>
      </w:r>
      <w:r>
        <w:t xml:space="preserve"> </w:t>
      </w:r>
      <w:r>
        <w:t xml:space="preserve">through legal process. Where the file shows a dispute about the amount itself,</w:t>
      </w:r>
      <w:r>
        <w:t xml:space="preserve"> </w:t>
      </w:r>
      <w:r>
        <w:t xml:space="preserve">the account is returned to collections for reconciliation first.</w:t>
      </w:r>
    </w:p>
    <w:p>
      <w:pPr>
        <w:pStyle w:val="BodyText"/>
      </w:pPr>
      <w:r>
        <w:t xml:space="preserve">This SOP is restricted to the Legal department. Collections staff may be told</w:t>
      </w:r>
      <w:r>
        <w:t xml:space="preserve"> </w:t>
      </w:r>
      <w:r>
        <w:t xml:space="preserve">that an account has been accepted for legal recovery; they may not be told what</w:t>
      </w:r>
      <w:r>
        <w:t xml:space="preserve"> </w:t>
      </w:r>
      <w:r>
        <w:t xml:space="preserve">strategy is being pursued.</w:t>
      </w:r>
    </w:p>
    <w:bookmarkEnd w:id="9"/>
    <w:bookmarkStart w:id="10" w:name="notice-before-legal-action"/>
    <w:p>
      <w:pPr>
        <w:pStyle w:val="Heading2"/>
      </w:pPr>
      <w:r>
        <w:t xml:space="preserve">2.1 Notice before legal action</w:t>
      </w:r>
    </w:p>
    <w:p>
      <w:pPr>
        <w:pStyle w:val="FirstParagraph"/>
      </w:pPr>
      <w:r>
        <w:t xml:space="preserve">A demand notice is issued to the borrower and every co-applicant before any</w:t>
      </w:r>
      <w:r>
        <w:t xml:space="preserve"> </w:t>
      </w:r>
      <w:r>
        <w:t xml:space="preserve">legal proceeding is commenced.</w:t>
      </w:r>
    </w:p>
    <w:p>
      <w:pPr>
        <w:pStyle w:val="BodyText"/>
      </w:pPr>
      <w:r>
        <w:t xml:space="preserve">The notice states the amount claimed, broken into principal, interest and</w:t>
      </w:r>
      <w:r>
        <w:t xml:space="preserve"> </w:t>
      </w:r>
      <w:r>
        <w:t xml:space="preserve">charges; the period over which it accrued; the contractual basis of the claim;</w:t>
      </w:r>
      <w:r>
        <w:t xml:space="preserve"> </w:t>
      </w:r>
      <w:r>
        <w:t xml:space="preserve">and a period of not less than fifteen days within which payment or a</w:t>
      </w:r>
      <w:r>
        <w:t xml:space="preserve"> </w:t>
      </w:r>
      <w:r>
        <w:t xml:space="preserve">representation may be made.</w:t>
      </w:r>
    </w:p>
    <w:p>
      <w:pPr>
        <w:pStyle w:val="BodyText"/>
      </w:pPr>
      <w:r>
        <w:t xml:space="preserve">Charges shown in the notice must separate penal charges from interest.</w:t>
      </w:r>
      <w:r>
        <w:t xml:space="preserve"> </w:t>
      </w:r>
      <w:r>
        <w:t xml:space="preserve">Collections SOP 6.2 forbids capitalising penal charges, and a notice that shows a</w:t>
      </w:r>
      <w:r>
        <w:t xml:space="preserve"> </w:t>
      </w:r>
      <w:r>
        <w:t xml:space="preserve">merged figure both misstates the claim and evidences a breach of that rule in</w:t>
      </w:r>
      <w:r>
        <w:t xml:space="preserve"> </w:t>
      </w:r>
      <w:r>
        <w:t xml:space="preserve">writing.</w:t>
      </w:r>
    </w:p>
    <w:p>
      <w:pPr>
        <w:pStyle w:val="BodyText"/>
      </w:pPr>
      <w:r>
        <w:t xml:space="preserve">Notice is served at the address recorded on the loan, by a method that produces</w:t>
      </w:r>
      <w:r>
        <w:t xml:space="preserve"> </w:t>
      </w:r>
      <w:r>
        <w:t xml:space="preserve">proof of dispatch and, where available, proof of delivery. Service on one</w:t>
      </w:r>
      <w:r>
        <w:t xml:space="preserve"> </w:t>
      </w:r>
      <w:r>
        <w:t xml:space="preserve">borrower is not service on a co-applicant; each is served separately.</w:t>
      </w:r>
    </w:p>
    <w:p>
      <w:pPr>
        <w:pStyle w:val="BodyText"/>
      </w:pPr>
      <w:r>
        <w:t xml:space="preserve">A representation received within the notice period must be considered and</w:t>
      </w:r>
      <w:r>
        <w:t xml:space="preserve"> </w:t>
      </w:r>
      <w:r>
        <w:t xml:space="preserve">answered in writing before proceedings begin. Proceeding while a representation</w:t>
      </w:r>
      <w:r>
        <w:t xml:space="preserve"> </w:t>
      </w:r>
      <w:r>
        <w:t xml:space="preserve">is unanswered is the most common procedural defect raised against lenders and the</w:t>
      </w:r>
      <w:r>
        <w:t xml:space="preserve"> </w:t>
      </w:r>
      <w:r>
        <w:t xml:space="preserve">easiest to avoid.</w:t>
      </w:r>
    </w:p>
    <w:p>
      <w:pPr>
        <w:pStyle w:val="BodyText"/>
      </w:pPr>
      <w:r>
        <w:t xml:space="preserve">Where the borrower disputes the amount, proceedings are held and the account is</w:t>
      </w:r>
      <w:r>
        <w:t xml:space="preserve"> </w:t>
      </w:r>
      <w:r>
        <w:t xml:space="preserve">returned to collections for reconciliation under section 1.1.</w:t>
      </w:r>
    </w:p>
    <w:bookmarkEnd w:id="10"/>
    <w:bookmarkStart w:id="11" w:name="invoking-the-arbitration-clause"/>
    <w:p>
      <w:pPr>
        <w:pStyle w:val="Heading2"/>
      </w:pPr>
      <w:r>
        <w:t xml:space="preserve">3.1 Invoking the arbitration clause</w:t>
      </w:r>
    </w:p>
    <w:p>
      <w:pPr>
        <w:pStyle w:val="FirstParagraph"/>
      </w:pPr>
      <w:r>
        <w:t xml:space="preserve">Where the loan agreement contains an arbitration clause, arbitration is the</w:t>
      </w:r>
      <w:r>
        <w:t xml:space="preserve"> </w:t>
      </w:r>
      <w:r>
        <w:t xml:space="preserve">default route for a monetary claim and is invoked in preference to a civil suit.</w:t>
      </w:r>
    </w:p>
    <w:p>
      <w:pPr>
        <w:pStyle w:val="BodyText"/>
      </w:pPr>
      <w:r>
        <w:t xml:space="preserve">Invocation requires the written approval of the Head of Legal. The notice</w:t>
      </w:r>
      <w:r>
        <w:t xml:space="preserve"> </w:t>
      </w:r>
      <w:r>
        <w:t xml:space="preserve">invoking arbitration is issued only after the demand notice under section 2.1 has</w:t>
      </w:r>
      <w:r>
        <w:t xml:space="preserve"> </w:t>
      </w:r>
      <w:r>
        <w:t xml:space="preserve">expired unanswered or been answered unsatisfactorily.</w:t>
      </w:r>
    </w:p>
    <w:p>
      <w:pPr>
        <w:pStyle w:val="BodyText"/>
      </w:pPr>
      <w:r>
        <w:t xml:space="preserve">The arbitrator must be appointed strictly in the manner the agreement provides.</w:t>
      </w:r>
      <w:r>
        <w:t xml:space="preserve"> </w:t>
      </w:r>
      <w:r>
        <w:t xml:space="preserve">A unilateral appointment by the company, where the clause does not clearly permit</w:t>
      </w:r>
      <w:r>
        <w:t xml:space="preserve"> </w:t>
      </w:r>
      <w:r>
        <w:t xml:space="preserve">it, is liable to be set aside and will cost more time than it saves.</w:t>
      </w:r>
    </w:p>
    <w:p>
      <w:pPr>
        <w:pStyle w:val="BodyText"/>
      </w:pPr>
      <w:r>
        <w:t xml:space="preserve">The claim as pleaded must match the ledger. Any difference between the amount</w:t>
      </w:r>
      <w:r>
        <w:t xml:space="preserve"> </w:t>
      </w:r>
      <w:r>
        <w:t xml:space="preserve">claimed in arbitration and the amount in the demand notice must be explained on</w:t>
      </w:r>
      <w:r>
        <w:t xml:space="preserve"> </w:t>
      </w:r>
      <w:r>
        <w:t xml:space="preserve">the file before filing, not afterwards under cross-examination.</w:t>
      </w:r>
    </w:p>
    <w:p>
      <w:pPr>
        <w:pStyle w:val="BodyText"/>
      </w:pPr>
      <w:r>
        <w:t xml:space="preserve">Settlement during arbitration follows the Settlement Policy without modification.</w:t>
      </w:r>
      <w:r>
        <w:t xml:space="preserve"> </w:t>
      </w:r>
      <w:r>
        <w:t xml:space="preserve">An arbitration in progress does not create authority to waive principal, and does</w:t>
      </w:r>
      <w:r>
        <w:t xml:space="preserve"> </w:t>
      </w:r>
      <w:r>
        <w:t xml:space="preserve">not move a waiver into a lower approval slab.</w:t>
      </w:r>
    </w:p>
    <w:p>
      <w:pPr>
        <w:pStyle w:val="BodyText"/>
      </w:pPr>
      <w:r>
        <w:t xml:space="preserve">This section is restricted to the Legal department. The strategy, the choice of</w:t>
      </w:r>
      <w:r>
        <w:t xml:space="preserve"> </w:t>
      </w:r>
      <w:r>
        <w:t xml:space="preserve">forum and the company’s assessment of its own position are privileged and must</w:t>
      </w:r>
      <w:r>
        <w:t xml:space="preserve"> </w:t>
      </w:r>
      <w:r>
        <w:t xml:space="preserve">not be disclosed to collections staff, to outsourced agents, or to the borrower.</w:t>
      </w:r>
    </w:p>
    <w:bookmarkEnd w:id="11"/>
    <w:bookmarkStart w:id="12" w:name="recommending-a-technical-write-off"/>
    <w:p>
      <w:pPr>
        <w:pStyle w:val="Heading2"/>
      </w:pPr>
      <w:r>
        <w:t xml:space="preserve">4.1 Recommending a technical write-off</w:t>
      </w:r>
    </w:p>
    <w:p>
      <w:pPr>
        <w:pStyle w:val="FirstParagraph"/>
      </w:pPr>
      <w:r>
        <w:t xml:space="preserve">A technical write-off removes a non-performing asset from the books at the head</w:t>
      </w:r>
      <w:r>
        <w:t xml:space="preserve"> </w:t>
      </w:r>
      <w:r>
        <w:t xml:space="preserve">office level while the company continues to pursue recovery rights against the</w:t>
      </w:r>
      <w:r>
        <w:t xml:space="preserve"> </w:t>
      </w:r>
      <w:r>
        <w:t xml:space="preserve">borrower in full.</w:t>
      </w:r>
    </w:p>
    <w:p>
      <w:pPr>
        <w:pStyle w:val="BodyText"/>
      </w:pPr>
      <w:r>
        <w:t xml:space="preserve">A write-off is a recommendation of the Legal team and a decision of the Board or</w:t>
      </w:r>
      <w:r>
        <w:t xml:space="preserve"> </w:t>
      </w:r>
      <w:r>
        <w:t xml:space="preserve">its delegate. It is never a collections decision and never a substitute for the</w:t>
      </w:r>
      <w:r>
        <w:t xml:space="preserve"> </w:t>
      </w:r>
      <w:r>
        <w:t xml:space="preserve">principal waiver that Settlement Policy 2.4 prohibits — the debt is not</w:t>
      </w:r>
      <w:r>
        <w:t xml:space="preserve"> </w:t>
      </w:r>
      <w:r>
        <w:t xml:space="preserve">extinguished and the borrower is not released.</w:t>
      </w:r>
    </w:p>
    <w:p>
      <w:pPr>
        <w:pStyle w:val="BodyText"/>
      </w:pPr>
      <w:r>
        <w:t xml:space="preserve">Paragraph 16 of the RBI (NBFC – Resolution of Stressed Assets) Directions, 2025</w:t>
      </w:r>
      <w:r>
        <w:t xml:space="preserve"> </w:t>
      </w:r>
      <w:r>
        <w:t xml:space="preserve">requires a Board-approved policy covering technical write-offs, including the</w:t>
      </w:r>
      <w:r>
        <w:t xml:space="preserve"> </w:t>
      </w:r>
      <w:r>
        <w:t xml:space="preserve">conditions precedent such as minimum ageing and deterioration in collateral</w:t>
      </w:r>
      <w:r>
        <w:t xml:space="preserve"> </w:t>
      </w:r>
      <w:r>
        <w:t xml:space="preserve">value, a graded framework for examining staff accountability, and the delegation</w:t>
      </w:r>
      <w:r>
        <w:t xml:space="preserve"> </w:t>
      </w:r>
      <w:r>
        <w:t xml:space="preserve">of powers for approval.</w:t>
      </w:r>
    </w:p>
    <w:p>
      <w:pPr>
        <w:pStyle w:val="BodyText"/>
      </w:pPr>
      <w:r>
        <w:t xml:space="preserve">Under paragraph 16(5)(i) the approving authority must be at least one level</w:t>
      </w:r>
      <w:r>
        <w:t xml:space="preserve"> </w:t>
      </w:r>
      <w:r>
        <w:t xml:space="preserve">higher in hierarchy than the authority that sanctioned the exposure, and no</w:t>
      </w:r>
      <w:r>
        <w:t xml:space="preserve"> </w:t>
      </w:r>
      <w:r>
        <w:t xml:space="preserve">official who was part of sanctioning the loan may take part in approving the</w:t>
      </w:r>
      <w:r>
        <w:t xml:space="preserve"> </w:t>
      </w:r>
      <w:r>
        <w:t xml:space="preserve">write-off in any capacity.</w:t>
      </w:r>
    </w:p>
    <w:p>
      <w:pPr>
        <w:pStyle w:val="BodyText"/>
      </w:pPr>
      <w:r>
        <w:t xml:space="preserve">A recommendation states what recovery has been attempted, what remains legally</w:t>
      </w:r>
      <w:r>
        <w:t xml:space="preserve"> </w:t>
      </w:r>
      <w:r>
        <w:t xml:space="preserve">available, and why continued pursuit is not expected to recover the balance.</w:t>
      </w:r>
      <w:r>
        <w:t xml:space="preserve"> </w:t>
      </w:r>
      <w:r>
        <w:t xml:space="preserve">“Uneconomic to pursue”</w:t>
      </w:r>
      <w:r>
        <w:t xml:space="preserve"> </w:t>
      </w:r>
      <w:r>
        <w:t xml:space="preserve">is a conclusion, not a reason, and must be supported.</w:t>
      </w:r>
    </w:p>
    <w:p>
      <w:pPr>
        <w:pStyle w:val="BodyText"/>
      </w:pPr>
      <w:r>
        <w:t xml:space="preserve">This section is restricted to the Legal and Finance departments.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Recovery Standard Operating Procedure</dc:title>
  <dc:creator>Vidyanidhi Education Finance Limited</dc:creator>
  <cp:keywords/>
  <dcterms:created xsi:type="dcterms:W3CDTF">2026-09-23T15:03:59Z</dcterms:created>
  <dcterms:modified xsi:type="dcterms:W3CDTF">2026-09-23T15:03:59Z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Current version</vt:lpwstr>
  </property>
</Properties>
</file>