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Collections Standard Operating Procedure</w:t>
      </w:r>
    </w:p>
    <w:p>
      <w:pPr>
        <w:pStyle w:val="Author"/>
      </w:pPr>
      <w:r>
        <w:t xml:space="preserve">Vidyanidhi Education Finance Limited</w:t>
      </w:r>
    </w:p>
    <w:p>
      <w:pPr>
        <w:pStyle w:val="Date"/>
      </w:pPr>
      <w:r>
        <w:t xml:space="preserve">Current version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urpose-and-scope"/>
    <w:p>
      <w:pPr>
        <w:pStyle w:val="Heading2"/>
      </w:pPr>
      <w:r>
        <w:t xml:space="preserve">1.1 Purpose and scope</w:t>
      </w:r>
    </w:p>
    <w:p>
      <w:pPr>
        <w:pStyle w:val="FirstParagraph"/>
      </w:pPr>
      <w:r>
        <w:t xml:space="preserve">This Standard Operating Procedure governs the collections function for the</w:t>
      </w:r>
      <w:r>
        <w:t xml:space="preserve"> </w:t>
      </w:r>
      <w:r>
        <w:t xml:space="preserve">education loan portfolio. It applies to every account from the first day of</w:t>
      </w:r>
      <w:r>
        <w:t xml:space="preserve"> </w:t>
      </w:r>
      <w:r>
        <w:t xml:space="preserve">delinquency until the account is cured, settled, written off or transferred to</w:t>
      </w:r>
      <w:r>
        <w:t xml:space="preserve"> </w:t>
      </w:r>
      <w:r>
        <w:t xml:space="preserve">legal recovery.</w:t>
      </w:r>
    </w:p>
    <w:p>
      <w:pPr>
        <w:pStyle w:val="BodyText"/>
      </w:pPr>
      <w:r>
        <w:t xml:space="preserve">The SOP has three jobs. It states which action may be taken at which stage of</w:t>
      </w:r>
      <w:r>
        <w:t xml:space="preserve"> </w:t>
      </w:r>
      <w:r>
        <w:t xml:space="preserve">delinquency. It states who may authorise each action. And it states what may</w:t>
      </w:r>
      <w:r>
        <w:t xml:space="preserve"> </w:t>
      </w:r>
      <w:r>
        <w:t xml:space="preserve">never be done, regardless of who asks.</w:t>
      </w:r>
    </w:p>
    <w:p>
      <w:pPr>
        <w:pStyle w:val="BodyText"/>
      </w:pPr>
      <w:r>
        <w:t xml:space="preserve">The SOP is binding on employees of the company and on any third party acting on</w:t>
      </w:r>
      <w:r>
        <w:t xml:space="preserve"> </w:t>
      </w:r>
      <w:r>
        <w:t xml:space="preserve">its behalf, including outsourced recovery agents and tele-calling vendors. Under</w:t>
      </w:r>
      <w:r>
        <w:t xml:space="preserve"> </w:t>
      </w:r>
      <w:r>
        <w:t xml:space="preserve">RBI/2022-23/108 paragraph 1, the ultimate responsibility for outsourced activity</w:t>
      </w:r>
      <w:r>
        <w:t xml:space="preserve"> </w:t>
      </w:r>
      <w:r>
        <w:t xml:space="preserve">rests with the regulated entity. Engaging an agency does not transfer that</w:t>
      </w:r>
      <w:r>
        <w:t xml:space="preserve"> </w:t>
      </w:r>
      <w:r>
        <w:t xml:space="preserve">responsibility, and a breach by an agent is treated as a breach by the company.</w:t>
      </w:r>
    </w:p>
    <w:p>
      <w:pPr>
        <w:pStyle w:val="BodyText"/>
      </w:pPr>
      <w:r>
        <w:t xml:space="preserve">Where this SOP is silent, staff must escalate rather than improvise. Where this</w:t>
      </w:r>
      <w:r>
        <w:t xml:space="preserve"> </w:t>
      </w:r>
      <w:r>
        <w:t xml:space="preserve">SOP conflicts with an RBI direction, the RBI direction prevails and the conflict</w:t>
      </w:r>
      <w:r>
        <w:t xml:space="preserve"> </w:t>
      </w:r>
      <w:r>
        <w:t xml:space="preserve">must be reported to the Head of Collections within one working day.</w:t>
      </w:r>
    </w:p>
    <w:p>
      <w:pPr>
        <w:pStyle w:val="BodyText"/>
      </w:pPr>
      <w:r>
        <w:t xml:space="preserve">Nothing in this SOP authorises an action that the account’s approval matrix</w:t>
      </w:r>
      <w:r>
        <w:t xml:space="preserve"> </w:t>
      </w:r>
      <w:r>
        <w:t xml:space="preserve">forbids. The action policy table is the operative control; this document explains</w:t>
      </w:r>
      <w:r>
        <w:t xml:space="preserve"> </w:t>
      </w:r>
      <w:r>
        <w:t xml:space="preserve">it. Where the two disagree, the table denies the action and the disagreement is a</w:t>
      </w:r>
      <w:r>
        <w:t xml:space="preserve"> </w:t>
      </w:r>
      <w:r>
        <w:t xml:space="preserve">defect to be fixed, not a judgement call to be made by the analyst.</w:t>
      </w:r>
    </w:p>
    <w:bookmarkEnd w:id="9"/>
    <w:bookmarkStart w:id="10" w:name="days-past-due-and-sma-buckets"/>
    <w:p>
      <w:pPr>
        <w:pStyle w:val="Heading2"/>
      </w:pPr>
      <w:r>
        <w:t xml:space="preserve">2.1 Days past due and SMA buckets</w:t>
      </w:r>
    </w:p>
    <w:p>
      <w:pPr>
        <w:pStyle w:val="FirstParagraph"/>
      </w:pPr>
      <w:r>
        <w:t xml:space="preserve">Days past due, or DPD, is the number of days for which any amount contractually</w:t>
      </w:r>
      <w:r>
        <w:t xml:space="preserve"> </w:t>
      </w:r>
      <w:r>
        <w:t xml:space="preserve">due on a loan has remained unpaid. DPD is counted from the due date, not from the</w:t>
      </w:r>
      <w:r>
        <w:t xml:space="preserve"> </w:t>
      </w:r>
      <w:r>
        <w:t xml:space="preserve">date the shortfall was noticed.</w:t>
      </w:r>
    </w:p>
    <w:p>
      <w:pPr>
        <w:pStyle w:val="BodyText"/>
      </w:pPr>
      <w:r>
        <w:t xml:space="preserve">Classification into Special Mention Account categories follows paragraph 18 of</w:t>
      </w:r>
      <w:r>
        <w:t xml:space="preserve"> </w:t>
      </w:r>
      <w:r>
        <w:t xml:space="preserve">the RBI (NBFC – Resolution of Stressed Assets) Directions, 2025: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</w:pPr>
            <w:r>
              <w:t xml:space="preserve">Category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Principal or interest or any other amount wholly or partly overdue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SMA-0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up to 30 days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SMA-1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more than 30 days and up to 60 days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SMA-2</w:t>
            </w:r>
          </w:p>
        </w:tc>
        <w:tc>
          <w:tcPr/>
          <w:p>
            <w:pPr>
              <w:pStyle w:val="Compact"/>
            </w:pPr>
            <w:r>
              <w:t xml:space="preserve">more than 60 days and up to 90 days</w:t>
            </w:r>
          </w:p>
        </w:tc>
      </w:tr>
    </w:tbl>
    <w:p>
      <w:pPr>
        <w:pStyle w:val="BodyText"/>
      </w:pPr>
      <w:r>
        <w:t xml:space="preserve">Paragraph 19 of the same Directions confirms that SMA classification applies to</w:t>
      </w:r>
      <w:r>
        <w:t xml:space="preserve"> </w:t>
      </w:r>
      <w:r>
        <w:t xml:space="preserve">all loans including retail loans, irrespective of the size of the exposure.</w:t>
      </w:r>
    </w:p>
    <w:p>
      <w:pPr>
        <w:pStyle w:val="BodyText"/>
      </w:pPr>
      <w:r>
        <w:t xml:space="preserve">An asset becomes a non-performing asset where the instalment or interest has</w:t>
      </w:r>
      <w:r>
        <w:t xml:space="preserve"> </w:t>
      </w:r>
      <w:r>
        <w:t xml:space="preserve">remained overdue for more than ninety days, under paragraph 51 of the RBI (NBFC</w:t>
      </w:r>
      <w:r>
        <w:t xml:space="preserve"> </w:t>
      </w:r>
      <w:r>
        <w:t xml:space="preserve">– Income Recognition, Asset Classification and Provisioning) Directions, 2025.</w:t>
      </w:r>
    </w:p>
    <w:p>
      <w:pPr>
        <w:pStyle w:val="BodyText"/>
      </w:pPr>
      <w:r>
        <w:t xml:space="preserve">Timing is governed by the IRACP Directions. Paragraph 18 requires the account to</w:t>
      </w:r>
      <w:r>
        <w:t xml:space="preserve"> </w:t>
      </w:r>
      <w:r>
        <w:t xml:space="preserve">be flagged overdue as part of the day-end process</w:t>
      </w:r>
      <w:r>
        <w:t xml:space="preserve"> </w:t>
      </w:r>
      <w:r>
        <w:rPr>
          <w:b/>
          <w:bCs/>
        </w:rPr>
        <w:t xml:space="preserve">for the due date</w:t>
      </w:r>
      <w:r>
        <w:t xml:space="preserve">,</w:t>
      </w:r>
      <w:r>
        <w:t xml:space="preserve"> </w:t>
      </w:r>
      <w:r>
        <w:t xml:space="preserve">irrespective of when that process is actually run. Paragraph 19 requires SMA and</w:t>
      </w:r>
      <w:r>
        <w:t xml:space="preserve"> </w:t>
      </w:r>
      <w:r>
        <w:t xml:space="preserve">NPA classification to be performed as part of the day-end process for the</w:t>
      </w:r>
      <w:r>
        <w:t xml:space="preserve"> </w:t>
      </w:r>
      <w:r>
        <w:t xml:space="preserve">relevant date, with the classification date being the calendar date for which</w:t>
      </w:r>
      <w:r>
        <w:t xml:space="preserve"> </w:t>
      </w:r>
      <w:r>
        <w:t xml:space="preserve">the day-end process is run.</w:t>
      </w:r>
    </w:p>
    <w:p>
      <w:pPr>
        <w:pStyle w:val="BodyText"/>
      </w:pPr>
      <w:r>
        <w:t xml:space="preserve">Illustration I in paragraph 19 is the reference case staff should use. For an</w:t>
      </w:r>
      <w:r>
        <w:t xml:space="preserve"> </w:t>
      </w:r>
      <w:r>
        <w:t xml:space="preserve">instalment due on 31 March 2021 where full dues are not received, the date of</w:t>
      </w:r>
      <w:r>
        <w:t xml:space="preserve"> </w:t>
      </w:r>
      <w:r>
        <w:t xml:space="preserve">overdue is 31 March 2021. The account is tagged SMA-1 on running the day-end</w:t>
      </w:r>
      <w:r>
        <w:t xml:space="preserve"> </w:t>
      </w:r>
      <w:r>
        <w:t xml:space="preserve">process on 30 April 2021, SMA-2 on 30 May 2021, and NPA on 29 June 2021.</w:t>
      </w:r>
    </w:p>
    <w:p>
      <w:pPr>
        <w:pStyle w:val="BodyText"/>
      </w:pPr>
      <w:r>
        <w:t xml:space="preserve">Staff must not compute DPD by subtracting the due date from today’s date on an</w:t>
      </w:r>
      <w:r>
        <w:t xml:space="preserve"> </w:t>
      </w:r>
      <w:r>
        <w:t xml:space="preserve">ad hoc basis; that produces a figure which disagrees with the system of record.</w:t>
      </w:r>
    </w:p>
    <w:bookmarkEnd w:id="10"/>
    <w:bookmarkStart w:id="11" w:name="cure-and-upgrade"/>
    <w:p>
      <w:pPr>
        <w:pStyle w:val="Heading2"/>
      </w:pPr>
      <w:r>
        <w:t xml:space="preserve">2.2 Cure and upgrade</w:t>
      </w:r>
    </w:p>
    <w:p>
      <w:pPr>
        <w:pStyle w:val="FirstParagraph"/>
      </w:pPr>
      <w:r>
        <w:t xml:space="preserve">Cure and upgrade are different things and must not be used interchangeably.</w:t>
      </w:r>
    </w:p>
    <w:p>
      <w:pPr>
        <w:pStyle w:val="BodyText"/>
      </w:pPr>
      <w:r>
        <w:t xml:space="preserve">An account is described internally as</w:t>
      </w:r>
      <w:r>
        <w:t xml:space="preserve"> </w:t>
      </w:r>
      <w:r>
        <w:rPr>
          <w:b/>
          <w:bCs/>
        </w:rPr>
        <w:t xml:space="preserve">cured</w:t>
      </w:r>
      <w:r>
        <w:t xml:space="preserve"> </w:t>
      </w:r>
      <w:r>
        <w:t xml:space="preserve">when its DPD has returned to zero</w:t>
      </w:r>
      <w:r>
        <w:t xml:space="preserve"> </w:t>
      </w:r>
      <w:r>
        <w:t xml:space="preserve">and remained there. This is an operational description used for portfolio</w:t>
      </w:r>
      <w:r>
        <w:t xml:space="preserve"> </w:t>
      </w:r>
      <w:r>
        <w:t xml:space="preserve">reporting and for measuring the effect of collections actions. It carries no</w:t>
      </w:r>
      <w:r>
        <w:t xml:space="preserve"> </w:t>
      </w:r>
      <w:r>
        <w:t xml:space="preserve">regulatory meaning.</w:t>
      </w:r>
    </w:p>
    <w:p>
      <w:pPr>
        <w:pStyle w:val="BodyText"/>
      </w:pPr>
      <w:r>
        <w:rPr>
          <w:b/>
          <w:bCs/>
        </w:rPr>
        <w:t xml:space="preserve">Upgrade</w:t>
      </w:r>
      <w:r>
        <w:t xml:space="preserve"> </w:t>
      </w:r>
      <w:r>
        <w:t xml:space="preserve">is a regulatory act. Under paragraph 24 of the RBI (NBFC – Income</w:t>
      </w:r>
      <w:r>
        <w:t xml:space="preserve"> </w:t>
      </w:r>
      <w:r>
        <w:t xml:space="preserve">Recognition, Asset Classification and Provisioning) Directions, 2025, a loan</w:t>
      </w:r>
      <w:r>
        <w:t xml:space="preserve"> </w:t>
      </w:r>
      <w:r>
        <w:t xml:space="preserve">account classified as an NPA may be upgraded to standard only if the entire</w:t>
      </w:r>
      <w:r>
        <w:t xml:space="preserve"> </w:t>
      </w:r>
      <w:r>
        <w:t xml:space="preserve">arrears of interest and principal are paid by the borrower. Partial payment does</w:t>
      </w:r>
      <w:r>
        <w:t xml:space="preserve"> </w:t>
      </w:r>
      <w:r>
        <w:t xml:space="preserve">not upgrade an account, and bringing DPD below ninety days does not upgrade an</w:t>
      </w:r>
      <w:r>
        <w:t xml:space="preserve"> </w:t>
      </w:r>
      <w:r>
        <w:t xml:space="preserve">account.</w:t>
      </w:r>
    </w:p>
    <w:p>
      <w:pPr>
        <w:pStyle w:val="BodyText"/>
      </w:pPr>
      <w:r>
        <w:t xml:space="preserve">Paragraph 25 extends this where a borrower holds more than one facility: the</w:t>
      </w:r>
      <w:r>
        <w:t xml:space="preserve"> </w:t>
      </w:r>
      <w:r>
        <w:t xml:space="preserve">account is upgraded only upon repayment of the entire arrears of interest and</w:t>
      </w:r>
      <w:r>
        <w:t xml:space="preserve"> </w:t>
      </w:r>
      <w:r>
        <w:t xml:space="preserve">principal</w:t>
      </w:r>
      <w:r>
        <w:t xml:space="preserve"> </w:t>
      </w:r>
      <w:r>
        <w:rPr>
          <w:b/>
          <w:bCs/>
        </w:rPr>
        <w:t xml:space="preserve">pertaining to all the credit facilities</w:t>
      </w:r>
      <w:r>
        <w:t xml:space="preserve">. Clearing one loan while</w:t>
      </w:r>
      <w:r>
        <w:t xml:space="preserve"> </w:t>
      </w:r>
      <w:r>
        <w:t xml:space="preserve">another remains in arrears upgrades neither, because paragraph 23 makes asset</w:t>
      </w:r>
      <w:r>
        <w:t xml:space="preserve"> </w:t>
      </w:r>
      <w:r>
        <w:t xml:space="preserve">classification borrower-wise rather than facility-wise.</w:t>
      </w:r>
    </w:p>
    <w:p>
      <w:pPr>
        <w:pStyle w:val="BodyText"/>
      </w:pPr>
      <w:r>
        <w:t xml:space="preserve">Upgrade after restructuring is a separate regime. Paragraph 22 of the IRACP</w:t>
      </w:r>
      <w:r>
        <w:t xml:space="preserve"> </w:t>
      </w:r>
      <w:r>
        <w:t xml:space="preserve">Directions states that an asset shall not be upgraded merely as a result of</w:t>
      </w:r>
      <w:r>
        <w:t xml:space="preserve"> </w:t>
      </w:r>
      <w:r>
        <w:t xml:space="preserve">rescheduling unless it satisfies the conditions in the RBI (NBFC – Resolution of</w:t>
      </w:r>
      <w:r>
        <w:t xml:space="preserve"> </w:t>
      </w:r>
      <w:r>
        <w:t xml:space="preserve">Stressed Assets) Directions, 2025.</w:t>
      </w:r>
    </w:p>
    <w:p>
      <w:pPr>
        <w:pStyle w:val="BodyText"/>
      </w:pPr>
      <w:r>
        <w:t xml:space="preserve">Staff must not describe an account as upgraded, regularised or standard in any</w:t>
      </w:r>
      <w:r>
        <w:t xml:space="preserve"> </w:t>
      </w:r>
      <w:r>
        <w:t xml:space="preserve">communication with a borrower, a bureau or an auditor unless the applicable test</w:t>
      </w:r>
      <w:r>
        <w:t xml:space="preserve"> </w:t>
      </w:r>
      <w:r>
        <w:t xml:space="preserve">has been met. Outcome labels produced by internal analytics, including any label</w:t>
      </w:r>
      <w:r>
        <w:t xml:space="preserve"> </w:t>
      </w:r>
      <w:r>
        <w:t xml:space="preserve">generated by the early warning system, are operational descriptions only and are</w:t>
      </w:r>
      <w:r>
        <w:t xml:space="preserve"> </w:t>
      </w:r>
      <w:r>
        <w:t xml:space="preserve">never a statement of asset classification.</w:t>
      </w:r>
    </w:p>
    <w:bookmarkEnd w:id="11"/>
    <w:bookmarkStart w:id="12" w:name="soft-contact-with-the-borrower"/>
    <w:p>
      <w:pPr>
        <w:pStyle w:val="Heading2"/>
      </w:pPr>
      <w:r>
        <w:t xml:space="preserve">3.1 Soft contact with the borrower</w:t>
      </w:r>
    </w:p>
    <w:p>
      <w:pPr>
        <w:pStyle w:val="FirstParagraph"/>
      </w:pPr>
      <w:r>
        <w:t xml:space="preserve">Soft contact is a reminder communication to the borrower by telephone, SMS,</w:t>
      </w:r>
      <w:r>
        <w:t xml:space="preserve"> </w:t>
      </w:r>
      <w:r>
        <w:t xml:space="preserve">email or letter, for the purpose of informing them of an amount due or overdue</w:t>
      </w:r>
      <w:r>
        <w:t xml:space="preserve"> </w:t>
      </w:r>
      <w:r>
        <w:t xml:space="preserve">and arranging payment.</w:t>
      </w:r>
    </w:p>
    <w:p>
      <w:pPr>
        <w:pStyle w:val="BodyText"/>
      </w:pPr>
      <w:r>
        <w:t xml:space="preserve">Soft contact is permitted from zero days past due. It requires no prior action</w:t>
      </w:r>
      <w:r>
        <w:t xml:space="preserve"> </w:t>
      </w:r>
      <w:r>
        <w:t xml:space="preserve">and no approval beyond the analyst handling the account.</w:t>
      </w:r>
    </w:p>
    <w:p>
      <w:pPr>
        <w:pStyle w:val="BodyText"/>
      </w:pPr>
      <w:r>
        <w:t xml:space="preserve">Soft contact is the normal first step and is a precondition for several later</w:t>
      </w:r>
      <w:r>
        <w:t xml:space="preserve"> </w:t>
      </w:r>
      <w:r>
        <w:t xml:space="preserve">actions. Contact with a co-applicant under section 3.4 requires that soft contact</w:t>
      </w:r>
      <w:r>
        <w:t xml:space="preserve"> </w:t>
      </w:r>
      <w:r>
        <w:t xml:space="preserve">with the borrower has been attempted first. Handover to collections under section</w:t>
      </w:r>
      <w:r>
        <w:t xml:space="preserve"> </w:t>
      </w:r>
      <w:r>
        <w:t xml:space="preserve">5.1 requires both.</w:t>
      </w:r>
    </w:p>
    <w:p>
      <w:pPr>
        <w:pStyle w:val="BodyText"/>
      </w:pPr>
      <w:r>
        <w:t xml:space="preserve">Every attempt must be logged in the contact history with the date, the channel</w:t>
      </w:r>
      <w:r>
        <w:t xml:space="preserve"> </w:t>
      </w:r>
      <w:r>
        <w:t xml:space="preserve">and the outcome, whether or not the borrower answered. A contact attempt that is</w:t>
      </w:r>
      <w:r>
        <w:t xml:space="preserve"> </w:t>
      </w:r>
      <w:r>
        <w:t xml:space="preserve">not logged has, for the purposes of this SOP, not occurred, and cannot be relied</w:t>
      </w:r>
      <w:r>
        <w:t xml:space="preserve"> </w:t>
      </w:r>
      <w:r>
        <w:t xml:space="preserve">on to satisfy a precondition.</w:t>
      </w:r>
    </w:p>
    <w:p>
      <w:pPr>
        <w:pStyle w:val="BodyText"/>
      </w:pPr>
      <w:r>
        <w:t xml:space="preserve">All soft contact is subject without exception to the conduct rules in section 4,</w:t>
      </w:r>
      <w:r>
        <w:t xml:space="preserve"> </w:t>
      </w:r>
      <w:r>
        <w:t xml:space="preserve">including permitted hours. A reminder call placed at seven-thirty in the evening</w:t>
      </w:r>
      <w:r>
        <w:t xml:space="preserve"> </w:t>
      </w:r>
      <w:r>
        <w:t xml:space="preserve">is a breach whatever its content and however courteous its tone.</w:t>
      </w:r>
    </w:p>
    <w:p>
      <w:pPr>
        <w:pStyle w:val="BodyText"/>
      </w:pPr>
      <w:r>
        <w:t xml:space="preserve">Soft contact does not include any communication that states or implies a</w:t>
      </w:r>
      <w:r>
        <w:t xml:space="preserve"> </w:t>
      </w:r>
      <w:r>
        <w:t xml:space="preserve">consequence which has not been approved under this SOP. Staff must not warn a</w:t>
      </w:r>
      <w:r>
        <w:t xml:space="preserve"> </w:t>
      </w:r>
      <w:r>
        <w:t xml:space="preserve">borrower of a field visit, a handover, a settlement offer or a legal step unless</w:t>
      </w:r>
      <w:r>
        <w:t xml:space="preserve"> </w:t>
      </w:r>
      <w:r>
        <w:t xml:space="preserve">that action has actually been authorised for the account.</w:t>
      </w:r>
    </w:p>
    <w:bookmarkEnd w:id="12"/>
    <w:bookmarkStart w:id="13" w:name="mandate-repair"/>
    <w:p>
      <w:pPr>
        <w:pStyle w:val="Heading2"/>
      </w:pPr>
      <w:r>
        <w:t xml:space="preserve">3.2 Mandate repair</w:t>
      </w:r>
    </w:p>
    <w:p>
      <w:pPr>
        <w:pStyle w:val="FirstParagraph"/>
      </w:pPr>
      <w:r>
        <w:t xml:space="preserve">Mandate repair is the process of correcting or replacing a failed or invalid</w:t>
      </w:r>
      <w:r>
        <w:t xml:space="preserve"> </w:t>
      </w:r>
      <w:r>
        <w:t xml:space="preserve">electronic payment mandate so that future instalments can be collected by</w:t>
      </w:r>
      <w:r>
        <w:t xml:space="preserve"> </w:t>
      </w:r>
      <w:r>
        <w:t xml:space="preserve">auto-debit.</w:t>
      </w:r>
    </w:p>
    <w:p>
      <w:pPr>
        <w:pStyle w:val="BodyText"/>
      </w:pPr>
      <w:r>
        <w:t xml:space="preserve">Mandate repair is permitted from zero days past due, requires no prior action,</w:t>
      </w:r>
      <w:r>
        <w:t xml:space="preserve"> </w:t>
      </w:r>
      <w:r>
        <w:t xml:space="preserve">and is authorised by the analyst handling the account.</w:t>
      </w:r>
    </w:p>
    <w:p>
      <w:pPr>
        <w:pStyle w:val="BodyText"/>
      </w:pPr>
      <w:r>
        <w:t xml:space="preserve">Repair is the correct response wherever the root cause of non-payment is</w:t>
      </w:r>
      <w:r>
        <w:t xml:space="preserve"> </w:t>
      </w:r>
      <w:r>
        <w:t xml:space="preserve">mechanical rather than financial. Indicators include a mandate rejected for a</w:t>
      </w:r>
      <w:r>
        <w:t xml:space="preserve"> </w:t>
      </w:r>
      <w:r>
        <w:t xml:space="preserve">signature or account-detail mismatch, a mandate registered against a closed bank</w:t>
      </w:r>
      <w:r>
        <w:t xml:space="preserve"> </w:t>
      </w:r>
      <w:r>
        <w:t xml:space="preserve">account, a presentation returned with a technical reason code, or a borrower who</w:t>
      </w:r>
      <w:r>
        <w:t xml:space="preserve"> </w:t>
      </w:r>
      <w:r>
        <w:t xml:space="preserve">pays manually each month while the auto-debit continues to fail.</w:t>
      </w:r>
    </w:p>
    <w:p>
      <w:pPr>
        <w:pStyle w:val="BodyText"/>
      </w:pPr>
      <w:r>
        <w:t xml:space="preserve">Repair should be attempted before any escalation. An account that is delinquent</w:t>
      </w:r>
      <w:r>
        <w:t xml:space="preserve"> </w:t>
      </w:r>
      <w:r>
        <w:t xml:space="preserve">only because its mandate is broken is not a credit problem, and treating it as</w:t>
      </w:r>
      <w:r>
        <w:t xml:space="preserve"> </w:t>
      </w:r>
      <w:r>
        <w:t xml:space="preserve">one wastes collections capacity and damages a performing relationship.</w:t>
      </w:r>
    </w:p>
    <w:p>
      <w:pPr>
        <w:pStyle w:val="BodyText"/>
      </w:pPr>
      <w:r>
        <w:t xml:space="preserve">The operational steps for registration and presentation are in the Mandate</w:t>
      </w:r>
      <w:r>
        <w:t xml:space="preserve"> </w:t>
      </w:r>
      <w:r>
        <w:t xml:space="preserve">Operations SOP. This section governs only the decision to attempt repair and the</w:t>
      </w:r>
      <w:r>
        <w:t xml:space="preserve"> </w:t>
      </w:r>
      <w:r>
        <w:t xml:space="preserve">authority required to do so.</w:t>
      </w:r>
    </w:p>
    <w:p>
      <w:pPr>
        <w:pStyle w:val="BodyText"/>
      </w:pPr>
      <w:r>
        <w:t xml:space="preserve">Where three consecutive presentations have failed for the same non-technical</w:t>
      </w:r>
      <w:r>
        <w:t xml:space="preserve"> </w:t>
      </w:r>
      <w:r>
        <w:t xml:space="preserve">reason, mandate repair alone is not a sufficient response and the account must be</w:t>
      </w:r>
      <w:r>
        <w:t xml:space="preserve"> </w:t>
      </w:r>
      <w:r>
        <w:t xml:space="preserve">assessed on its payment behaviour as well.</w:t>
      </w:r>
    </w:p>
    <w:bookmarkEnd w:id="13"/>
    <w:bookmarkStart w:id="14" w:name="payment-date-change"/>
    <w:p>
      <w:pPr>
        <w:pStyle w:val="Heading2"/>
      </w:pPr>
      <w:r>
        <w:t xml:space="preserve">3.3 Payment date change</w:t>
      </w:r>
    </w:p>
    <w:p>
      <w:pPr>
        <w:pStyle w:val="FirstParagraph"/>
      </w:pPr>
      <w:r>
        <w:t xml:space="preserve">A payment date change moves the monthly instalment due date to a date better</w:t>
      </w:r>
      <w:r>
        <w:t xml:space="preserve"> </w:t>
      </w:r>
      <w:r>
        <w:t xml:space="preserve">aligned with the borrower’s income cycle.</w:t>
      </w:r>
    </w:p>
    <w:p>
      <w:pPr>
        <w:pStyle w:val="BodyText"/>
      </w:pPr>
      <w:r>
        <w:t xml:space="preserve">A payment date change may be granted at up to sixty days past due and is</w:t>
      </w:r>
      <w:r>
        <w:t xml:space="preserve"> </w:t>
      </w:r>
      <w:r>
        <w:t xml:space="preserve">authorised by the analyst handling the account.</w:t>
      </w:r>
      <w:r>
        <w:t xml:space="preserve"> </w:t>
      </w:r>
      <w:r>
        <w:rPr>
          <w:b/>
          <w:bCs/>
        </w:rPr>
        <w:t xml:space="preserve">It may not be granted beyond</w:t>
      </w:r>
      <w:r>
        <w:rPr>
          <w:b/>
          <w:bCs/>
        </w:rPr>
        <w:t xml:space="preserve"> </w:t>
      </w:r>
      <w:r>
        <w:rPr>
          <w:b/>
          <w:bCs/>
        </w:rPr>
        <w:t xml:space="preserve">sixty days past due.</w:t>
      </w:r>
      <w:r>
        <w:t xml:space="preserve"> </w:t>
      </w:r>
      <w:r>
        <w:t xml:space="preserve">Past that point the account requires a restructuring</w:t>
      </w:r>
      <w:r>
        <w:t xml:space="preserve"> </w:t>
      </w:r>
      <w:r>
        <w:t xml:space="preserve">decision under the Restructuring Policy, taken by a manager, rather than a</w:t>
      </w:r>
      <w:r>
        <w:t xml:space="preserve"> </w:t>
      </w:r>
      <w:r>
        <w:t xml:space="preserve">scheduling adjustment taken by an analyst.</w:t>
      </w:r>
    </w:p>
    <w:p>
      <w:pPr>
        <w:pStyle w:val="BodyText"/>
      </w:pPr>
      <w:r>
        <w:t xml:space="preserve">The change is appropriate where payment failures cluster immediately before a</w:t>
      </w:r>
      <w:r>
        <w:t xml:space="preserve"> </w:t>
      </w:r>
      <w:r>
        <w:t xml:space="preserve">salary or stipend credit and resolve immediately after. It is not appropriate</w:t>
      </w:r>
      <w:r>
        <w:t xml:space="preserve"> </w:t>
      </w:r>
      <w:r>
        <w:t xml:space="preserve">where the borrower is unable to pay at any point in the month; that is a capacity</w:t>
      </w:r>
      <w:r>
        <w:t xml:space="preserve"> </w:t>
      </w:r>
      <w:r>
        <w:t xml:space="preserve">problem and a date change will not fix it.</w:t>
      </w:r>
    </w:p>
    <w:p>
      <w:pPr>
        <w:pStyle w:val="BodyText"/>
      </w:pPr>
      <w:r>
        <w:t xml:space="preserve">A payment date change alters the schedule only. It does not reduce the amount</w:t>
      </w:r>
      <w:r>
        <w:t xml:space="preserve"> </w:t>
      </w:r>
      <w:r>
        <w:t xml:space="preserve">due, does not waive any charge, and does not alter the classification of the</w:t>
      </w:r>
      <w:r>
        <w:t xml:space="preserve"> </w:t>
      </w:r>
      <w:r>
        <w:t xml:space="preserve">account. Any accrued penal charge remains payable, and under RBI/2023-24/53</w:t>
      </w:r>
      <w:r>
        <w:t xml:space="preserve"> </w:t>
      </w:r>
      <w:r>
        <w:t xml:space="preserve">paragraph 3(i) is never capitalised into the principal.</w:t>
      </w:r>
    </w:p>
    <w:p>
      <w:pPr>
        <w:pStyle w:val="BodyText"/>
      </w:pPr>
      <w:r>
        <w:t xml:space="preserve">The existing mandate must be cancelled and a fresh mandate registered for the new</w:t>
      </w:r>
      <w:r>
        <w:t xml:space="preserve"> </w:t>
      </w:r>
      <w:r>
        <w:t xml:space="preserve">date. Until the new mandate is active, the borrower must be told in writing that</w:t>
      </w:r>
      <w:r>
        <w:t xml:space="preserve"> </w:t>
      </w:r>
      <w:r>
        <w:t xml:space="preserve">payment remains their responsibility and that no auto-debit will be presented.</w:t>
      </w:r>
    </w:p>
    <w:bookmarkEnd w:id="14"/>
    <w:bookmarkStart w:id="15" w:name="contact-with-the-co-applicant"/>
    <w:p>
      <w:pPr>
        <w:pStyle w:val="Heading2"/>
      </w:pPr>
      <w:r>
        <w:t xml:space="preserve">3.4 Contact with the co-applicant</w:t>
      </w:r>
    </w:p>
    <w:p>
      <w:pPr>
        <w:pStyle w:val="FirstParagraph"/>
      </w:pPr>
      <w:r>
        <w:t xml:space="preserve">Contact with the co-applicant is a reminder communication addressed to the</w:t>
      </w:r>
      <w:r>
        <w:t xml:space="preserve"> </w:t>
      </w:r>
      <w:r>
        <w:t xml:space="preserve">co-borrower or guarantor recorded on the loan, in the same form as soft contact</w:t>
      </w:r>
      <w:r>
        <w:t xml:space="preserve"> </w:t>
      </w:r>
      <w:r>
        <w:t xml:space="preserve">with the borrower.</w:t>
      </w:r>
    </w:p>
    <w:p>
      <w:pPr>
        <w:pStyle w:val="BodyText"/>
      </w:pPr>
      <w:r>
        <w:t xml:space="preserve">Contact with the co-applicant is permitted from one day past due,</w:t>
      </w:r>
      <w:r>
        <w:t xml:space="preserve"> </w:t>
      </w:r>
      <w:r>
        <w:rPr>
          <w:b/>
          <w:bCs/>
        </w:rPr>
        <w:t xml:space="preserve">provided that</w:t>
      </w:r>
      <w:r>
        <w:rPr>
          <w:b/>
          <w:bCs/>
        </w:rPr>
        <w:t xml:space="preserve"> </w:t>
      </w:r>
      <w:r>
        <w:rPr>
          <w:b/>
          <w:bCs/>
        </w:rPr>
        <w:t xml:space="preserve">soft contact with the borrower under section 3.1 has been attempted first</w:t>
      </w:r>
      <w:r>
        <w:t xml:space="preserve">. It is</w:t>
      </w:r>
      <w:r>
        <w:t xml:space="preserve"> </w:t>
      </w:r>
      <w:r>
        <w:t xml:space="preserve">authorised by the analyst handling the account.</w:t>
      </w:r>
    </w:p>
    <w:p>
      <w:pPr>
        <w:pStyle w:val="BodyText"/>
      </w:pPr>
      <w:r>
        <w:t xml:space="preserve">The co-applicant is a party to the loan and is jointly liable. Contacting them is</w:t>
      </w:r>
      <w:r>
        <w:t xml:space="preserve"> </w:t>
      </w:r>
      <w:r>
        <w:t xml:space="preserve">therefore contact with an obligor, not contact with a third party, and is</w:t>
      </w:r>
      <w:r>
        <w:t xml:space="preserve"> </w:t>
      </w:r>
      <w:r>
        <w:t xml:space="preserve">permitted on that basis alone.</w:t>
      </w:r>
    </w:p>
    <w:p>
      <w:pPr>
        <w:pStyle w:val="BodyText"/>
      </w:pPr>
      <w:r>
        <w:t xml:space="preserve">This must not be confused with contacting a person who is not a party to the</w:t>
      </w:r>
      <w:r>
        <w:t xml:space="preserve"> </w:t>
      </w:r>
      <w:r>
        <w:t xml:space="preserve">loan. Under RBI/2022-23/108 paragraph 2, staff and agents must not humiliate</w:t>
      </w:r>
      <w:r>
        <w:t xml:space="preserve"> </w:t>
      </w:r>
      <w:r>
        <w:t xml:space="preserve">publicly or intrude upon the privacy of a borrower’s family members, referees or</w:t>
      </w:r>
      <w:r>
        <w:t xml:space="preserve"> </w:t>
      </w:r>
      <w:r>
        <w:t xml:space="preserve">friends. A parent who has signed as co-applicant may be contacted about the debt.</w:t>
      </w:r>
      <w:r>
        <w:t xml:space="preserve"> </w:t>
      </w:r>
      <w:r>
        <w:t xml:space="preserve">A sibling, neighbour, employer or reference who has not signed may not be</w:t>
      </w:r>
      <w:r>
        <w:t xml:space="preserve"> </w:t>
      </w:r>
      <w:r>
        <w:t xml:space="preserve">contacted about the debt at all, and may be approached only to update contact</w:t>
      </w:r>
      <w:r>
        <w:t xml:space="preserve"> </w:t>
      </w:r>
      <w:r>
        <w:t xml:space="preserve">details, without disclosing that a debt exists or that it is overdue.</w:t>
      </w:r>
    </w:p>
    <w:p>
      <w:pPr>
        <w:pStyle w:val="BodyText"/>
      </w:pPr>
      <w:r>
        <w:t xml:space="preserve">Where the loan is in moratorium and the co-applicant is the servicing party under</w:t>
      </w:r>
      <w:r>
        <w:t xml:space="preserve"> </w:t>
      </w:r>
      <w:r>
        <w:t xml:space="preserve">the sanction terms, the co-applicant is the primary contact and the borrower</w:t>
      </w:r>
      <w:r>
        <w:t xml:space="preserve"> </w:t>
      </w:r>
      <w:r>
        <w:t xml:space="preserve">should not be pursued for an amount the borrower is not yet required to pay.</w:t>
      </w:r>
    </w:p>
    <w:bookmarkEnd w:id="15"/>
    <w:bookmarkStart w:id="16" w:name="permitted-contact-hours"/>
    <w:p>
      <w:pPr>
        <w:pStyle w:val="Heading2"/>
      </w:pPr>
      <w:r>
        <w:t xml:space="preserve">4.1 Permitted contact hours</w:t>
      </w:r>
    </w:p>
    <w:p>
      <w:pPr>
        <w:pStyle w:val="FirstParagraph"/>
      </w:pPr>
      <w:r>
        <w:t xml:space="preserve">Contact with a borrower or co-applicant for the recovery of overdue amounts is</w:t>
      </w:r>
      <w:r>
        <w:t xml:space="preserve"> </w:t>
      </w:r>
      <w:r>
        <w:t xml:space="preserve">permitted only between 08:00 and 19:00.</w:t>
      </w:r>
    </w:p>
    <w:p>
      <w:pPr>
        <w:pStyle w:val="BodyText"/>
      </w:pPr>
      <w:r>
        <w:t xml:space="preserve">This is a direct requirement of paragraph 100 of the RBI (NBFC – Responsible</w:t>
      </w:r>
      <w:r>
        <w:t xml:space="preserve"> </w:t>
      </w:r>
      <w:r>
        <w:t xml:space="preserve">Business Conduct) Directions, 2025, which requires an NBFC to ensure that</w:t>
      </w:r>
      <w:r>
        <w:t xml:space="preserve"> </w:t>
      </w:r>
      <w:r>
        <w:t xml:space="preserve">neither it nor its agents calls the borrower before 8:00 a.m. and after 7:00 p.m.</w:t>
      </w:r>
      <w:r>
        <w:t xml:space="preserve"> </w:t>
      </w:r>
      <w:r>
        <w:t xml:space="preserve">for recovery of overdue loans.</w:t>
      </w:r>
    </w:p>
    <w:p>
      <w:pPr>
        <w:pStyle w:val="BodyText"/>
      </w:pPr>
      <w:r>
        <w:t xml:space="preserve">The restriction applies to the borrower’s local time, to every channel used for</w:t>
      </w:r>
      <w:r>
        <w:t xml:space="preserve"> </w:t>
      </w:r>
      <w:r>
        <w:t xml:space="preserve">recovery contact, and to every person acting for the company, whether employed</w:t>
      </w:r>
      <w:r>
        <w:t xml:space="preserve"> </w:t>
      </w:r>
      <w:r>
        <w:t xml:space="preserve">directly or engaged through an agency.</w:t>
      </w:r>
    </w:p>
    <w:p>
      <w:pPr>
        <w:pStyle w:val="BodyText"/>
      </w:pPr>
      <w:r>
        <w:t xml:space="preserve">Automated dialling, SMS campaigns and scheduled email sequences must be</w:t>
      </w:r>
      <w:r>
        <w:t xml:space="preserve"> </w:t>
      </w:r>
      <w:r>
        <w:t xml:space="preserve">configured so that nothing can be released outside the window. A scheduling error</w:t>
      </w:r>
      <w:r>
        <w:t xml:space="preserve"> </w:t>
      </w:r>
      <w:r>
        <w:t xml:space="preserve">is a breach; the Directions do not distinguish between a deliberate call and a</w:t>
      </w:r>
      <w:r>
        <w:t xml:space="preserve"> </w:t>
      </w:r>
      <w:r>
        <w:t xml:space="preserve">misconfigured campaign.</w:t>
      </w:r>
    </w:p>
    <w:p>
      <w:pPr>
        <w:pStyle w:val="BodyText"/>
      </w:pPr>
      <w:r>
        <w:t xml:space="preserve">The restriction governs recovery contact. A borrower who initiates contact may be</w:t>
      </w:r>
      <w:r>
        <w:t xml:space="preserve"> </w:t>
      </w:r>
      <w:r>
        <w:t xml:space="preserve">assisted whenever they call, and a service communication that is not about</w:t>
      </w:r>
      <w:r>
        <w:t xml:space="preserve"> </w:t>
      </w:r>
      <w:r>
        <w:t xml:space="preserve">recovery of an overdue amount is not restricted by this section.</w:t>
      </w:r>
    </w:p>
    <w:p>
      <w:pPr>
        <w:pStyle w:val="BodyText"/>
      </w:pPr>
      <w:r>
        <w:t xml:space="preserve">Repeatedly calling the same borrower inside permitted hours is not thereby</w:t>
      </w:r>
      <w:r>
        <w:t xml:space="preserve"> </w:t>
      </w:r>
      <w:r>
        <w:t xml:space="preserve">permitted. Paragraph 100 separately prohibits persistently calling the borrower,</w:t>
      </w:r>
      <w:r>
        <w:t xml:space="preserve"> </w:t>
      </w:r>
      <w:r>
        <w:t xml:space="preserve">and paragraph 20 prohibits persistently bothering borrowers at odd hours as undue</w:t>
      </w:r>
      <w:r>
        <w:t xml:space="preserve"> </w:t>
      </w:r>
      <w:r>
        <w:t xml:space="preserve">harassment. The limit set by this SOP is three contact attempts per account per</w:t>
      </w:r>
      <w:r>
        <w:t xml:space="preserve"> </w:t>
      </w:r>
      <w:r>
        <w:t xml:space="preserve">day and ten per week across all channels; the Directions state the principle and</w:t>
      </w:r>
      <w:r>
        <w:t xml:space="preserve"> </w:t>
      </w:r>
      <w:r>
        <w:t xml:space="preserve">this SOP states the number.</w:t>
      </w:r>
    </w:p>
    <w:bookmarkEnd w:id="16"/>
    <w:bookmarkStart w:id="17" w:name="prohibited-practices"/>
    <w:p>
      <w:pPr>
        <w:pStyle w:val="Heading2"/>
      </w:pPr>
      <w:r>
        <w:t xml:space="preserve">4.2 Prohibited practices</w:t>
      </w:r>
    </w:p>
    <w:p>
      <w:pPr>
        <w:pStyle w:val="FirstParagraph"/>
      </w:pPr>
      <w:r>
        <w:t xml:space="preserve">The following are prohibited absolutely in the course of recovery. No approval</w:t>
      </w:r>
      <w:r>
        <w:t xml:space="preserve"> </w:t>
      </w:r>
      <w:r>
        <w:t xml:space="preserve">exists for any of them, at any level of seniority, for any account, whatever the</w:t>
      </w:r>
      <w:r>
        <w:t xml:space="preserve"> </w:t>
      </w:r>
      <w:r>
        <w:t xml:space="preserve">amount outstanding or the age of the debt.</w:t>
      </w:r>
    </w:p>
    <w:p>
      <w:pPr>
        <w:pStyle w:val="BodyText"/>
      </w:pPr>
      <w:r>
        <w:t xml:space="preserve">Paragraph 100 of the RBI (NBFC – Responsible Business Conduct) Directions, 2025</w:t>
      </w:r>
      <w:r>
        <w:t xml:space="preserve"> </w:t>
      </w:r>
      <w:r>
        <w:t xml:space="preserve">requires the NBFC to ensure strictly that neither it nor its agents resorts to:</w:t>
      </w:r>
    </w:p>
    <w:p>
      <w:pPr>
        <w:pStyle w:val="Compact"/>
        <w:numPr>
          <w:ilvl w:val="0"/>
          <w:numId w:val="1001"/>
        </w:numPr>
      </w:pPr>
      <w:r>
        <w:t xml:space="preserve">intimidation or harassment of any kind, either verbal or physical, against any person</w:t>
      </w:r>
    </w:p>
    <w:p>
      <w:pPr>
        <w:pStyle w:val="Compact"/>
        <w:numPr>
          <w:ilvl w:val="0"/>
          <w:numId w:val="1001"/>
        </w:numPr>
      </w:pPr>
      <w:r>
        <w:t xml:space="preserve">acts intended to humiliate publicly or intrude upon the privacy of the debtor’s family members, referees and friends</w:t>
      </w:r>
    </w:p>
    <w:p>
      <w:pPr>
        <w:pStyle w:val="Compact"/>
        <w:numPr>
          <w:ilvl w:val="0"/>
          <w:numId w:val="1001"/>
        </w:numPr>
      </w:pPr>
      <w:r>
        <w:t xml:space="preserve">sending inappropriate messages either on mobile or through social media</w:t>
      </w:r>
    </w:p>
    <w:p>
      <w:pPr>
        <w:pStyle w:val="Compact"/>
        <w:numPr>
          <w:ilvl w:val="0"/>
          <w:numId w:val="1001"/>
        </w:numPr>
      </w:pPr>
      <w:r>
        <w:t xml:space="preserve">making threatening and/or anonymous calls</w:t>
      </w:r>
    </w:p>
    <w:p>
      <w:pPr>
        <w:pStyle w:val="Compact"/>
        <w:numPr>
          <w:ilvl w:val="0"/>
          <w:numId w:val="1001"/>
        </w:numPr>
      </w:pPr>
      <w:r>
        <w:t xml:space="preserve">persistently calling the borrower</w:t>
      </w:r>
    </w:p>
    <w:p>
      <w:pPr>
        <w:pStyle w:val="Compact"/>
        <w:numPr>
          <w:ilvl w:val="0"/>
          <w:numId w:val="1001"/>
        </w:numPr>
      </w:pPr>
      <w:r>
        <w:t xml:space="preserve">calling the borrower before 8:00 a.m. and after 7:00 p.m. for recovery of overdue loans</w:t>
      </w:r>
    </w:p>
    <w:p>
      <w:pPr>
        <w:pStyle w:val="Compact"/>
        <w:numPr>
          <w:ilvl w:val="0"/>
          <w:numId w:val="1001"/>
        </w:numPr>
      </w:pPr>
      <w:r>
        <w:t xml:space="preserve">making false and misleading representations</w:t>
      </w:r>
    </w:p>
    <w:p>
      <w:pPr>
        <w:pStyle w:val="FirstParagraph"/>
      </w:pPr>
      <w:r>
        <w:t xml:space="preserve">Paragraph 20 separately prohibits undue harassment in the recovery of loans,</w:t>
      </w:r>
      <w:r>
        <w:t xml:space="preserve"> </w:t>
      </w:r>
      <w:r>
        <w:t xml:space="preserve">naming persistently bothering borrowers at odd hours and use of muscle power, and</w:t>
      </w:r>
      <w:r>
        <w:t xml:space="preserve"> </w:t>
      </w:r>
      <w:r>
        <w:t xml:space="preserve">requires that staff be adequately trained to deal with customers appropriately.</w:t>
      </w:r>
    </w:p>
    <w:p>
      <w:pPr>
        <w:pStyle w:val="BodyText"/>
      </w:pPr>
      <w:r>
        <w:t xml:space="preserve">To which this SOP adds, as matters of company policy:</w:t>
      </w:r>
    </w:p>
    <w:p>
      <w:pPr>
        <w:pStyle w:val="Compact"/>
        <w:numPr>
          <w:ilvl w:val="0"/>
          <w:numId w:val="1002"/>
        </w:numPr>
      </w:pPr>
      <w:r>
        <w:t xml:space="preserve">no disclosure of the debt to any person who is not a party to the loan</w:t>
      </w:r>
    </w:p>
    <w:p>
      <w:pPr>
        <w:pStyle w:val="Compact"/>
        <w:numPr>
          <w:ilvl w:val="0"/>
          <w:numId w:val="1002"/>
        </w:numPr>
      </w:pPr>
      <w:r>
        <w:t xml:space="preserve">no visit to the borrower’s workplace</w:t>
      </w:r>
    </w:p>
    <w:p>
      <w:pPr>
        <w:pStyle w:val="Compact"/>
        <w:numPr>
          <w:ilvl w:val="0"/>
          <w:numId w:val="1002"/>
        </w:numPr>
      </w:pPr>
      <w:r>
        <w:t xml:space="preserve">no statement that a consequence will follow unless that action has been approved for the account</w:t>
      </w:r>
    </w:p>
    <w:p>
      <w:pPr>
        <w:pStyle w:val="Compact"/>
        <w:numPr>
          <w:ilvl w:val="0"/>
          <w:numId w:val="1002"/>
        </w:numPr>
      </w:pPr>
      <w:r>
        <w:t xml:space="preserve">no retention or photography of identity documents during a field visit</w:t>
      </w:r>
    </w:p>
    <w:p>
      <w:pPr>
        <w:pStyle w:val="Compact"/>
        <w:numPr>
          <w:ilvl w:val="0"/>
          <w:numId w:val="1002"/>
        </w:numPr>
      </w:pPr>
      <w:r>
        <w:t xml:space="preserve">no collection of cash by a field agent</w:t>
      </w:r>
    </w:p>
    <w:p>
      <w:pPr>
        <w:pStyle w:val="FirstParagraph"/>
      </w:pPr>
      <w:r>
        <w:t xml:space="preserve">An instruction to breach this section is not a valid instruction and must be</w:t>
      </w:r>
      <w:r>
        <w:t xml:space="preserve"> </w:t>
      </w:r>
      <w:r>
        <w:t xml:space="preserve">refused and reported to the Head of Collections. Escalating targets, ageing debt</w:t>
      </w:r>
      <w:r>
        <w:t xml:space="preserve"> </w:t>
      </w:r>
      <w:r>
        <w:t xml:space="preserve">and instructions from a superior are not defences.</w:t>
      </w:r>
    </w:p>
    <w:p>
      <w:pPr>
        <w:pStyle w:val="BodyText"/>
      </w:pPr>
      <w:r>
        <w:t xml:space="preserve">Paragraph 17 of the RBI (NBFC – Managing Risks in Outsourcing) Directions, 2025</w:t>
      </w:r>
      <w:r>
        <w:t xml:space="preserve"> </w:t>
      </w:r>
      <w:r>
        <w:t xml:space="preserve">makes the company responsible for the actions of its service providers, recovery</w:t>
      </w:r>
      <w:r>
        <w:t xml:space="preserve"> </w:t>
      </w:r>
      <w:r>
        <w:t xml:space="preserve">agents included. A breach by an agency is a breach by the company.</w:t>
      </w:r>
    </w:p>
    <w:bookmarkEnd w:id="17"/>
    <w:bookmarkStart w:id="18" w:name="outsourced-recovery-agents"/>
    <w:p>
      <w:pPr>
        <w:pStyle w:val="Heading2"/>
      </w:pPr>
      <w:r>
        <w:t xml:space="preserve">4.3 Outsourced recovery agents</w:t>
      </w:r>
    </w:p>
    <w:p>
      <w:pPr>
        <w:pStyle w:val="FirstParagraph"/>
      </w:pPr>
      <w:r>
        <w:t xml:space="preserve">Outsourced recovery agents act for the company and are bound by this SOP in</w:t>
      </w:r>
      <w:r>
        <w:t xml:space="preserve"> </w:t>
      </w:r>
      <w:r>
        <w:t xml:space="preserve">full. Nothing in an agency agreement can relax a rule in section 4.</w:t>
      </w:r>
    </w:p>
    <w:p>
      <w:pPr>
        <w:pStyle w:val="BodyText"/>
      </w:pPr>
      <w:r>
        <w:t xml:space="preserve">Paragraph 17 of the RBI (NBFC – Managing Risks in Outsourcing) Directions, 2025</w:t>
      </w:r>
      <w:r>
        <w:t xml:space="preserve"> </w:t>
      </w:r>
      <w:r>
        <w:t xml:space="preserve">states that outsourcing shall not diminish the NBFC’s obligations to its</w:t>
      </w:r>
      <w:r>
        <w:t xml:space="preserve"> </w:t>
      </w:r>
      <w:r>
        <w:t xml:space="preserve">customers or to the Reserve Bank, that the Board and senior management retain</w:t>
      </w:r>
      <w:r>
        <w:t xml:space="preserve"> </w:t>
      </w:r>
      <w:r>
        <w:t xml:space="preserve">ultimate responsibility for the outsourced activity, and that the NBFC is</w:t>
      </w:r>
      <w:r>
        <w:t xml:space="preserve"> </w:t>
      </w:r>
      <w:r>
        <w:t xml:space="preserve">responsible for the actions of its service providers including Direct Sales</w:t>
      </w:r>
      <w:r>
        <w:t xml:space="preserve"> </w:t>
      </w:r>
      <w:r>
        <w:t xml:space="preserve">Agents, Direct Marketing Agents and recovery agents, and for the confidentiality</w:t>
      </w:r>
      <w:r>
        <w:t xml:space="preserve"> </w:t>
      </w:r>
      <w:r>
        <w:t xml:space="preserve">of customer information held by them. The NBFC retains ultimate control.</w:t>
      </w:r>
    </w:p>
    <w:p>
      <w:pPr>
        <w:pStyle w:val="BodyText"/>
      </w:pPr>
      <w:r>
        <w:t xml:space="preserve">Paragraph 98 of the RBI (NBFC – Responsible Business Conduct) Directions, 2025</w:t>
      </w:r>
      <w:r>
        <w:t xml:space="preserve"> </w:t>
      </w:r>
      <w:r>
        <w:t xml:space="preserve">requires agents to be properly trained to handle their responsibilities with care</w:t>
      </w:r>
      <w:r>
        <w:t xml:space="preserve"> </w:t>
      </w:r>
      <w:r>
        <w:t xml:space="preserve">and sensitivity, naming hours of calling and privacy of customer information</w:t>
      </w:r>
      <w:r>
        <w:t xml:space="preserve"> </w:t>
      </w:r>
      <w:r>
        <w:t xml:space="preserve">among the aspects to be covered. Paragraph 99 requires the company to obtain each</w:t>
      </w:r>
      <w:r>
        <w:t xml:space="preserve"> </w:t>
      </w:r>
      <w:r>
        <w:t xml:space="preserve">agent’s undertaking to abide by the code of conduct, and requires agents to</w:t>
      </w:r>
      <w:r>
        <w:t xml:space="preserve"> </w:t>
      </w:r>
      <w:r>
        <w:t xml:space="preserve">observe strict customer confidentiality. Paragraph 97 requires up-to-date details</w:t>
      </w:r>
      <w:r>
        <w:t xml:space="preserve"> </w:t>
      </w:r>
      <w:r>
        <w:t xml:space="preserve">of engaged recovery agencies to be hosted on the company’s website.</w:t>
      </w:r>
    </w:p>
    <w:p>
      <w:pPr>
        <w:pStyle w:val="BodyText"/>
      </w:pPr>
      <w:r>
        <w:t xml:space="preserve">Every agent deployed on this portfolio must therefore be named on the current</w:t>
      </w:r>
      <w:r>
        <w:t xml:space="preserve"> </w:t>
      </w:r>
      <w:r>
        <w:t xml:space="preserve">published list, must carry company-issued identification on every visit, and must</w:t>
      </w:r>
      <w:r>
        <w:t xml:space="preserve"> </w:t>
      </w:r>
      <w:r>
        <w:t xml:space="preserve">have completed conduct training covering section 4 before deployment. An agent</w:t>
      </w:r>
      <w:r>
        <w:t xml:space="preserve"> </w:t>
      </w:r>
      <w:r>
        <w:t xml:space="preserve">not on the list has no authority to act.</w:t>
      </w:r>
    </w:p>
    <w:p>
      <w:pPr>
        <w:pStyle w:val="BodyText"/>
      </w:pPr>
      <w:r>
        <w:t xml:space="preserve">Every contact made by an agent must be logged in the same contact history as</w:t>
      </w:r>
      <w:r>
        <w:t xml:space="preserve"> </w:t>
      </w:r>
      <w:r>
        <w:t xml:space="preserve">internal contact, with the same fields. Agency-held records not reflected in the</w:t>
      </w:r>
      <w:r>
        <w:t xml:space="preserve"> </w:t>
      </w:r>
      <w:r>
        <w:t xml:space="preserve">system of record do not satisfy this requirement and cannot prove a precondition</w:t>
      </w:r>
      <w:r>
        <w:t xml:space="preserve"> </w:t>
      </w:r>
      <w:r>
        <w:t xml:space="preserve">was met.</w:t>
      </w:r>
    </w:p>
    <w:p>
      <w:pPr>
        <w:pStyle w:val="BodyText"/>
      </w:pPr>
      <w:r>
        <w:t xml:space="preserve">Any borrower complaint alleging conduct covered by section 4.2 must be recorded,</w:t>
      </w:r>
      <w:r>
        <w:t xml:space="preserve"> </w:t>
      </w:r>
      <w:r>
        <w:t xml:space="preserve">escalated to the Head of Collections within one working day, and the agent</w:t>
      </w:r>
      <w:r>
        <w:t xml:space="preserve"> </w:t>
      </w:r>
      <w:r>
        <w:t xml:space="preserve">suspended from the portfolio pending review.</w:t>
      </w:r>
    </w:p>
    <w:bookmarkEnd w:id="18"/>
    <w:bookmarkStart w:id="19" w:name="handover-to-the-collections-team"/>
    <w:p>
      <w:pPr>
        <w:pStyle w:val="Heading2"/>
      </w:pPr>
      <w:r>
        <w:t xml:space="preserve">5.1 Handover to the collections team</w:t>
      </w:r>
    </w:p>
    <w:p>
      <w:pPr>
        <w:pStyle w:val="FirstParagraph"/>
      </w:pPr>
      <w:r>
        <w:t xml:space="preserve">Handover transfers day-to-day management of a delinquent account from the</w:t>
      </w:r>
      <w:r>
        <w:t xml:space="preserve"> </w:t>
      </w:r>
      <w:r>
        <w:t xml:space="preserve">servicing analyst to the specialist collections team.</w:t>
      </w:r>
    </w:p>
    <w:p>
      <w:pPr>
        <w:pStyle w:val="BodyText"/>
      </w:pPr>
      <w:r>
        <w:t xml:space="preserve">Handover requires</w:t>
      </w:r>
      <w:r>
        <w:t xml:space="preserve"> </w:t>
      </w:r>
      <w:r>
        <w:rPr>
          <w:b/>
          <w:bCs/>
        </w:rPr>
        <w:t xml:space="preserve">thirty days past due or more</w:t>
      </w:r>
      <w:r>
        <w:t xml:space="preserve">. It requires that soft contact</w:t>
      </w:r>
      <w:r>
        <w:t xml:space="preserve"> </w:t>
      </w:r>
      <w:r>
        <w:t xml:space="preserve">with the borrower under section 3.1 and contact with the co-applicant under</w:t>
      </w:r>
      <w:r>
        <w:t xml:space="preserve"> </w:t>
      </w:r>
      <w:r>
        <w:t xml:space="preserve">section 3.4 have both been attempted first. It is authorised by a manager.</w:t>
      </w:r>
    </w:p>
    <w:p>
      <w:pPr>
        <w:pStyle w:val="BodyText"/>
      </w:pPr>
      <w:r>
        <w:rPr>
          <w:b/>
          <w:bCs/>
        </w:rPr>
        <w:t xml:space="preserve">Handover is forbidden while the account is in moratorium</w:t>
      </w:r>
      <w:r>
        <w:t xml:space="preserve">, without exception.</w:t>
      </w:r>
      <w:r>
        <w:t xml:space="preserve"> </w:t>
      </w:r>
      <w:r>
        <w:t xml:space="preserve">An account in moratorium is not delinquent in the sense this section addresses,</w:t>
      </w:r>
      <w:r>
        <w:t xml:space="preserve"> </w:t>
      </w:r>
      <w:r>
        <w:t xml:space="preserve">and an amount which is not yet contractually due cannot be in arrears.</w:t>
      </w:r>
    </w:p>
    <w:p>
      <w:pPr>
        <w:pStyle w:val="BodyText"/>
      </w:pPr>
      <w:r>
        <w:t xml:space="preserve">The thirty-day threshold aligns handover with entry into SMA-1 under section 2.1.</w:t>
      </w:r>
      <w:r>
        <w:t xml:space="preserve"> </w:t>
      </w:r>
      <w:r>
        <w:t xml:space="preserve">An account that has crossed thirty days has missed a full cycle and has not</w:t>
      </w:r>
      <w:r>
        <w:t xml:space="preserve"> </w:t>
      </w:r>
      <w:r>
        <w:t xml:space="preserve">responded to two attempts at contact.</w:t>
      </w:r>
    </w:p>
    <w:p>
      <w:pPr>
        <w:pStyle w:val="BodyText"/>
      </w:pPr>
      <w:r>
        <w:t xml:space="preserve">Both preconditions must be evidenced in the contact history. An attempt that was</w:t>
      </w:r>
      <w:r>
        <w:t xml:space="preserve"> </w:t>
      </w:r>
      <w:r>
        <w:t xml:space="preserve">made but not logged does not satisfy the precondition, and handover must not be</w:t>
      </w:r>
      <w:r>
        <w:t xml:space="preserve"> </w:t>
      </w:r>
      <w:r>
        <w:t xml:space="preserve">approved on an assurance that contact took place.</w:t>
      </w:r>
    </w:p>
    <w:p>
      <w:pPr>
        <w:pStyle w:val="BodyText"/>
      </w:pPr>
      <w:r>
        <w:t xml:space="preserve">Handover changes who manages the account. It does not by itself authorise any</w:t>
      </w:r>
      <w:r>
        <w:t xml:space="preserve"> </w:t>
      </w:r>
      <w:r>
        <w:t xml:space="preserve">further action. A field visit still requires section 5.2 to be satisfied on its</w:t>
      </w:r>
      <w:r>
        <w:t xml:space="preserve"> </w:t>
      </w:r>
      <w:r>
        <w:t xml:space="preserve">own terms, and a settlement still requires the Settlement Policy to be satisfied</w:t>
      </w:r>
      <w:r>
        <w:t xml:space="preserve"> </w:t>
      </w:r>
      <w:r>
        <w:t xml:space="preserve">on its.</w:t>
      </w:r>
    </w:p>
    <w:bookmarkEnd w:id="19"/>
    <w:bookmarkStart w:id="20" w:name="field-visit"/>
    <w:p>
      <w:pPr>
        <w:pStyle w:val="Heading2"/>
      </w:pPr>
      <w:r>
        <w:t xml:space="preserve">5.2 Field visit</w:t>
      </w:r>
    </w:p>
    <w:p>
      <w:pPr>
        <w:pStyle w:val="FirstParagraph"/>
      </w:pPr>
      <w:r>
        <w:t xml:space="preserve">A field visit is an in-person visit to the borrower’s recorded residential</w:t>
      </w:r>
      <w:r>
        <w:t xml:space="preserve"> </w:t>
      </w:r>
      <w:r>
        <w:t xml:space="preserve">address by an authorised employee or agent.</w:t>
      </w:r>
    </w:p>
    <w:p>
      <w:pPr>
        <w:pStyle w:val="BodyText"/>
      </w:pPr>
      <w:r>
        <w:t xml:space="preserve">A field visit requires</w:t>
      </w:r>
      <w:r>
        <w:t xml:space="preserve"> </w:t>
      </w:r>
      <w:r>
        <w:rPr>
          <w:b/>
          <w:bCs/>
        </w:rPr>
        <w:t xml:space="preserve">forty-five days past due or more</w:t>
      </w:r>
      <w:r>
        <w:t xml:space="preserve">. It requires that</w:t>
      </w:r>
      <w:r>
        <w:t xml:space="preserve"> </w:t>
      </w:r>
      <w:r>
        <w:t xml:space="preserve">contact with the co-applicant under section 3.4 has been attempted first. It is</w:t>
      </w:r>
      <w:r>
        <w:t xml:space="preserve"> </w:t>
      </w:r>
      <w:r>
        <w:t xml:space="preserve">authorised by a manager.</w:t>
      </w:r>
    </w:p>
    <w:p>
      <w:pPr>
        <w:pStyle w:val="BodyText"/>
      </w:pPr>
      <w:r>
        <w:rPr>
          <w:b/>
          <w:bCs/>
        </w:rPr>
        <w:t xml:space="preserve">A field visit is forbidden while the account is in moratorium.</w:t>
      </w:r>
    </w:p>
    <w:p>
      <w:pPr>
        <w:pStyle w:val="BodyText"/>
      </w:pPr>
      <w:r>
        <w:t xml:space="preserve">The forty-five day threshold is deliberately higher than the thirty-day threshold</w:t>
      </w:r>
      <w:r>
        <w:t xml:space="preserve"> </w:t>
      </w:r>
      <w:r>
        <w:t xml:space="preserve">for handover. A visit is the most intrusive step available before legal recovery</w:t>
      </w:r>
      <w:r>
        <w:t xml:space="preserve"> </w:t>
      </w:r>
      <w:r>
        <w:t xml:space="preserve">and is justified only where remote contact has been given a full further cycle to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A visit may be made only to the residential address recorded on the loan. Visits</w:t>
      </w:r>
      <w:r>
        <w:t xml:space="preserve"> </w:t>
      </w:r>
      <w:r>
        <w:t xml:space="preserve">to a workplace, an educational institution, or the address of any person who is</w:t>
      </w:r>
      <w:r>
        <w:t xml:space="preserve"> </w:t>
      </w:r>
      <w:r>
        <w:t xml:space="preserve">not a party to the loan are prohibited under section 4.2.</w:t>
      </w:r>
    </w:p>
    <w:p>
      <w:pPr>
        <w:pStyle w:val="BodyText"/>
      </w:pPr>
      <w:r>
        <w:t xml:space="preserve">The visit is subject to the hours in section 4.1. The agent must identify</w:t>
      </w:r>
      <w:r>
        <w:t xml:space="preserve"> </w:t>
      </w:r>
      <w:r>
        <w:t xml:space="preserve">themselves and the company at the outset, must leave immediately if asked to, and</w:t>
      </w:r>
      <w:r>
        <w:t xml:space="preserve"> </w:t>
      </w:r>
      <w:r>
        <w:t xml:space="preserve">must not enter the property without invitation. No cash may be collected and no</w:t>
      </w:r>
      <w:r>
        <w:t xml:space="preserve"> </w:t>
      </w:r>
      <w:r>
        <w:t xml:space="preserve">identity document may be retained or photographed.</w:t>
      </w:r>
    </w:p>
    <w:p>
      <w:pPr>
        <w:pStyle w:val="BodyText"/>
      </w:pPr>
      <w:r>
        <w:t xml:space="preserve">The visit must be logged whether or not the borrower was met, with the date, the</w:t>
      </w:r>
      <w:r>
        <w:t xml:space="preserve"> </w:t>
      </w:r>
      <w:r>
        <w:t xml:space="preserve">address attended, the agent’s name, and the outcome. A visit that produced no</w:t>
      </w:r>
      <w:r>
        <w:t xml:space="preserve"> </w:t>
      </w:r>
      <w:r>
        <w:t xml:space="preserve">contact is still evidence that the step was taken.</w:t>
      </w:r>
    </w:p>
    <w:bookmarkEnd w:id="20"/>
    <w:bookmarkStart w:id="21" w:name="actions-forbidden-during-moratorium"/>
    <w:p>
      <w:pPr>
        <w:pStyle w:val="Heading2"/>
      </w:pPr>
      <w:r>
        <w:t xml:space="preserve">6.1 Actions forbidden during moratorium</w:t>
      </w:r>
    </w:p>
    <w:p>
      <w:pPr>
        <w:pStyle w:val="FirstParagraph"/>
      </w:pPr>
      <w:r>
        <w:t xml:space="preserve">While an education loan is within its sanctioned moratorium period, the</w:t>
      </w:r>
      <w:r>
        <w:t xml:space="preserve"> </w:t>
      </w:r>
      <w:r>
        <w:t xml:space="preserve">following actions are forbidden regardless of days past due, approval level or</w:t>
      </w:r>
      <w:r>
        <w:t xml:space="preserve"> </w:t>
      </w:r>
      <w:r>
        <w:t xml:space="preserve">amount outstanding:</w:t>
      </w:r>
    </w:p>
    <w:p>
      <w:pPr>
        <w:pStyle w:val="Compact"/>
        <w:numPr>
          <w:ilvl w:val="0"/>
          <w:numId w:val="1003"/>
        </w:numPr>
      </w:pPr>
      <w:r>
        <w:t xml:space="preserve">handover to the collections team (section 5.1)</w:t>
      </w:r>
    </w:p>
    <w:p>
      <w:pPr>
        <w:pStyle w:val="Compact"/>
        <w:numPr>
          <w:ilvl w:val="0"/>
          <w:numId w:val="1003"/>
        </w:numPr>
      </w:pPr>
      <w:r>
        <w:t xml:space="preserve">field visit (section 5.2)</w:t>
      </w:r>
    </w:p>
    <w:p>
      <w:pPr>
        <w:pStyle w:val="Compact"/>
        <w:numPr>
          <w:ilvl w:val="0"/>
          <w:numId w:val="1003"/>
        </w:numPr>
      </w:pPr>
      <w:r>
        <w:t xml:space="preserve">tenure extension (Restructuring Policy 2.2)</w:t>
      </w:r>
    </w:p>
    <w:p>
      <w:pPr>
        <w:pStyle w:val="Compact"/>
        <w:numPr>
          <w:ilvl w:val="0"/>
          <w:numId w:val="1003"/>
        </w:numPr>
      </w:pPr>
      <w:r>
        <w:t xml:space="preserve">settlement (Settlement Policy 1.1)</w:t>
      </w:r>
    </w:p>
    <w:p>
      <w:pPr>
        <w:pStyle w:val="FirstParagraph"/>
      </w:pPr>
      <w:r>
        <w:t xml:space="preserve">The moratorium is a term of the sanction. During it the borrower is not</w:t>
      </w:r>
      <w:r>
        <w:t xml:space="preserve"> </w:t>
      </w:r>
      <w:r>
        <w:t xml:space="preserve">contractually required to service principal, and in most structures not to</w:t>
      </w:r>
      <w:r>
        <w:t xml:space="preserve"> </w:t>
      </w:r>
      <w:r>
        <w:t xml:space="preserve">service interest either. An amount that is not yet due cannot be overdue, and a</w:t>
      </w:r>
      <w:r>
        <w:t xml:space="preserve"> </w:t>
      </w:r>
      <w:r>
        <w:t xml:space="preserve">recovery action premised on delinquency has no basis.</w:t>
      </w:r>
    </w:p>
    <w:p>
      <w:pPr>
        <w:pStyle w:val="BodyText"/>
      </w:pPr>
      <w:r>
        <w:t xml:space="preserve">Where the sanction names the co-applicant as the servicing party during</w:t>
      </w:r>
      <w:r>
        <w:t xml:space="preserve"> </w:t>
      </w:r>
      <w:r>
        <w:t xml:space="preserve">moratorium, the co-applicant is the correct point of contact for any amount that</w:t>
      </w:r>
      <w:r>
        <w:t xml:space="preserve"> </w:t>
      </w:r>
      <w:r>
        <w:t xml:space="preserve">genuinely is due, and the borrower must not be pursued for it.</w:t>
      </w:r>
    </w:p>
    <w:p>
      <w:pPr>
        <w:pStyle w:val="BodyText"/>
      </w:pPr>
      <w:r>
        <w:t xml:space="preserve">Any DPD figure shown against an account in moratorium must be treated as</w:t>
      </w:r>
      <w:r>
        <w:t xml:space="preserve"> </w:t>
      </w:r>
      <w:r>
        <w:t xml:space="preserve">suspicious and investigated as a possible data defect before any action is taken</w:t>
      </w:r>
      <w:r>
        <w:t xml:space="preserve"> </w:t>
      </w:r>
      <w:r>
        <w:t xml:space="preserve">on it. A non-zero DPD during moratorium is more often a booking error than a</w:t>
      </w:r>
      <w:r>
        <w:t xml:space="preserve"> </w:t>
      </w:r>
      <w:r>
        <w:t xml:space="preserve">default.</w:t>
      </w:r>
    </w:p>
    <w:p>
      <w:pPr>
        <w:pStyle w:val="BodyText"/>
      </w:pPr>
      <w:r>
        <w:t xml:space="preserve">Permitted during moratorium: soft contact for information and relationship</w:t>
      </w:r>
      <w:r>
        <w:t xml:space="preserve"> </w:t>
      </w:r>
      <w:r>
        <w:t xml:space="preserve">purposes, mandate repair in preparation for the repayment start date, and</w:t>
      </w:r>
      <w:r>
        <w:t xml:space="preserve"> </w:t>
      </w:r>
      <w:r>
        <w:t xml:space="preserve">moratorium extension under Restructuring Policy 2.1. None of these is a recovery</w:t>
      </w:r>
      <w:r>
        <w:t xml:space="preserve"> </w:t>
      </w:r>
      <w:r>
        <w:t xml:space="preserve">action.</w:t>
      </w:r>
    </w:p>
    <w:bookmarkEnd w:id="21"/>
    <w:bookmarkStart w:id="22" w:name="penal-charges"/>
    <w:p>
      <w:pPr>
        <w:pStyle w:val="Heading2"/>
      </w:pPr>
      <w:r>
        <w:t xml:space="preserve">6.2 Penal charges</w:t>
      </w:r>
    </w:p>
    <w:p>
      <w:pPr>
        <w:pStyle w:val="FirstParagraph"/>
      </w:pPr>
      <w:r>
        <w:t xml:space="preserve">A penalty for non-compliance with a material term of the loan contract is a</w:t>
      </w:r>
      <w:r>
        <w:t xml:space="preserve"> </w:t>
      </w:r>
      <w:r>
        <w:rPr>
          <w:b/>
          <w:bCs/>
        </w:rPr>
        <w:t xml:space="preserve">penal charge</w:t>
      </w:r>
      <w:r>
        <w:t xml:space="preserve">. It is not penal interest.</w:t>
      </w:r>
    </w:p>
    <w:p>
      <w:pPr>
        <w:pStyle w:val="BodyText"/>
      </w:pPr>
      <w:r>
        <w:t xml:space="preserve">Paragraph 30(1) of the RBI (NBFC – Responsible Business Conduct) Directions, 2025</w:t>
      </w:r>
      <w:r>
        <w:t xml:space="preserve"> </w:t>
      </w:r>
      <w:r>
        <w:t xml:space="preserve">provides that a penalty, if charged, for non-compliance of material terms and</w:t>
      </w:r>
      <w:r>
        <w:t xml:space="preserve"> </w:t>
      </w:r>
      <w:r>
        <w:t xml:space="preserve">conditions by the borrower shall be treated as a penal charge and</w:t>
      </w:r>
      <w:r>
        <w:t xml:space="preserve"> </w:t>
      </w:r>
      <w:r>
        <w:rPr>
          <w:b/>
          <w:bCs/>
        </w:rPr>
        <w:t xml:space="preserve">shall not be</w:t>
      </w:r>
      <w:r>
        <w:rPr>
          <w:b/>
          <w:bCs/>
        </w:rPr>
        <w:t xml:space="preserve"> </w:t>
      </w:r>
      <w:r>
        <w:rPr>
          <w:b/>
          <w:bCs/>
        </w:rPr>
        <w:t xml:space="preserve">levied in the form of penal interest added to the rate of interest</w:t>
      </w:r>
      <w:r>
        <w:t xml:space="preserve"> </w:t>
      </w:r>
      <w:r>
        <w:t xml:space="preserve">charged on</w:t>
      </w:r>
      <w:r>
        <w:t xml:space="preserve"> </w:t>
      </w:r>
      <w:r>
        <w:t xml:space="preserve">the advance, and that there shall be</w:t>
      </w:r>
      <w:r>
        <w:t xml:space="preserve"> </w:t>
      </w:r>
      <w:r>
        <w:rPr>
          <w:b/>
          <w:bCs/>
        </w:rPr>
        <w:t xml:space="preserve">no capitalisation of penal charges</w:t>
      </w:r>
      <w:r>
        <w:t xml:space="preserve"> </w:t>
      </w:r>
      <w:r>
        <w:t xml:space="preserve">— no</w:t>
      </w:r>
      <w:r>
        <w:t xml:space="preserve"> </w:t>
      </w:r>
      <w:r>
        <w:t xml:space="preserve">further interest computed on such charges.</w:t>
      </w:r>
    </w:p>
    <w:p>
      <w:pPr>
        <w:pStyle w:val="BodyText"/>
      </w:pPr>
      <w:r>
        <w:t xml:space="preserve">Note (ii) to that paragraph confirms that default in repayment is itself a type</w:t>
      </w:r>
      <w:r>
        <w:t xml:space="preserve"> </w:t>
      </w:r>
      <w:r>
        <w:t xml:space="preserve">of non-compliance, that any penalty for it may be levied only as a penal charge,</w:t>
      </w:r>
      <w:r>
        <w:t xml:space="preserve"> </w:t>
      </w:r>
      <w:r>
        <w:t xml:space="preserve">and that it must be reasonable and levied only on the amount under default, in a</w:t>
      </w:r>
      <w:r>
        <w:t xml:space="preserve"> </w:t>
      </w:r>
      <w:r>
        <w:t xml:space="preserve">non-discriminatory manner under a Board-approved policy. Note (iii) prohibits</w:t>
      </w:r>
      <w:r>
        <w:t xml:space="preserve"> </w:t>
      </w:r>
      <w:r>
        <w:t xml:space="preserve">levying additional or fresh penal charges on an earlier outstanding amount of</w:t>
      </w:r>
      <w:r>
        <w:t xml:space="preserve"> </w:t>
      </w:r>
      <w:r>
        <w:t xml:space="preserve">penal charges.</w:t>
      </w:r>
    </w:p>
    <w:p>
      <w:pPr>
        <w:pStyle w:val="BodyText"/>
      </w:pPr>
      <w:r>
        <w:t xml:space="preserve">Paragraph 30(1) does permit interest on unpaid interest, including on an unpaid</w:t>
      </w:r>
      <w:r>
        <w:t xml:space="preserve"> </w:t>
      </w:r>
      <w:r>
        <w:t xml:space="preserve">EMI, at the</w:t>
      </w:r>
      <w:r>
        <w:t xml:space="preserve"> </w:t>
      </w:r>
      <w:r>
        <w:rPr>
          <w:b/>
          <w:bCs/>
        </w:rPr>
        <w:t xml:space="preserve">contracted</w:t>
      </w:r>
      <w:r>
        <w:t xml:space="preserve"> </w:t>
      </w:r>
      <w:r>
        <w:t xml:space="preserve">rate until remediation. That is normal compounding and</w:t>
      </w:r>
      <w:r>
        <w:t xml:space="preserve"> </w:t>
      </w:r>
      <w:r>
        <w:t xml:space="preserve">is not a penal charge. Staff must not conflate the two.</w:t>
      </w:r>
    </w:p>
    <w:p>
      <w:pPr>
        <w:pStyle w:val="BodyText"/>
      </w:pPr>
      <w:r>
        <w:t xml:space="preserve">Because an education loan to a student is a loan to an individual for a purpose</w:t>
      </w:r>
      <w:r>
        <w:t xml:space="preserve"> </w:t>
      </w:r>
      <w:r>
        <w:t xml:space="preserve">other than business, paragraph 30(5) applies: the penal charges must not be</w:t>
      </w:r>
      <w:r>
        <w:t xml:space="preserve"> </w:t>
      </w:r>
      <w:r>
        <w:t xml:space="preserve">higher than those applicable to non-individual borrowers.</w:t>
      </w:r>
    </w:p>
    <w:p>
      <w:pPr>
        <w:pStyle w:val="BodyText"/>
      </w:pPr>
      <w:r>
        <w:t xml:space="preserve">The operational consequence for collections is that the arrears figure quoted to</w:t>
      </w:r>
      <w:r>
        <w:t xml:space="preserve"> </w:t>
      </w:r>
      <w:r>
        <w:t xml:space="preserve">a borrower, and the amount used to compute any settlement, must separate the</w:t>
      </w:r>
      <w:r>
        <w:t xml:space="preserve"> </w:t>
      </w:r>
      <w:r>
        <w:t xml:space="preserve">overdue instalments from any penal charges. A quoted figure that silently merges</w:t>
      </w:r>
      <w:r>
        <w:t xml:space="preserve"> </w:t>
      </w:r>
      <w:r>
        <w:t xml:space="preserve">the two overstates the contractual arrears.</w:t>
      </w:r>
    </w:p>
    <w:p>
      <w:pPr>
        <w:pStyle w:val="BodyText"/>
      </w:pPr>
      <w:r>
        <w:t xml:space="preserve">Staff must not describe a penal charge as interest, and must not agree to add one</w:t>
      </w:r>
      <w:r>
        <w:t xml:space="preserve"> </w:t>
      </w:r>
      <w:r>
        <w:t xml:space="preserve">to the outstanding principal for the borrower’s convenience — that would</w:t>
      </w:r>
      <w:r>
        <w:t xml:space="preserve"> </w:t>
      </w:r>
      <w:r>
        <w:t xml:space="preserve">capitalise it, which paragraph 30(1) forbids. Paragraph 30(6) requires the</w:t>
      </w:r>
      <w:r>
        <w:t xml:space="preserve"> </w:t>
      </w:r>
      <w:r>
        <w:t xml:space="preserve">quantum and reason for any penal charge to be disclosed, and any instance of levy</w:t>
      </w:r>
      <w:r>
        <w:t xml:space="preserve"> </w:t>
      </w:r>
      <w:r>
        <w:t xml:space="preserve">to be communicated to the borrower.</w:t>
      </w:r>
    </w:p>
    <w:bookmarkEnd w:id="22"/>
    <w:bookmarkStart w:id="23" w:name="credit-bureau-reporting"/>
    <w:p>
      <w:pPr>
        <w:pStyle w:val="Heading2"/>
      </w:pPr>
      <w:r>
        <w:t xml:space="preserve">7.1 Credit bureau reporting</w:t>
      </w:r>
    </w:p>
    <w:p>
      <w:pPr>
        <w:pStyle w:val="FirstParagraph"/>
      </w:pPr>
      <w:r>
        <w:t xml:space="preserve">Delinquency on this portfolio is reported to credit information companies four</w:t>
      </w:r>
      <w:r>
        <w:t xml:space="preserve"> </w:t>
      </w:r>
      <w:r>
        <w:t xml:space="preserve">times a month.</w:t>
      </w:r>
    </w:p>
    <w:p>
      <w:pPr>
        <w:pStyle w:val="BodyText"/>
      </w:pPr>
      <w:r>
        <w:t xml:space="preserve">Under paragraph 6(2) of the RBI (NBFC – Credit Information Reporting)</w:t>
      </w:r>
      <w:r>
        <w:t xml:space="preserve"> </w:t>
      </w:r>
      <w:r>
        <w:t xml:space="preserve">Directions, 2025, as substituted with effect from 1 July 2026, a credit</w:t>
      </w:r>
      <w:r>
        <w:t xml:space="preserve"> </w:t>
      </w:r>
      <w:r>
        <w:t xml:space="preserve">institution submits credit information as on the</w:t>
      </w:r>
      <w:r>
        <w:t xml:space="preserve"> </w:t>
      </w:r>
      <w:r>
        <w:rPr>
          <w:b/>
          <w:bCs/>
        </w:rPr>
        <w:t xml:space="preserve">9th, 16th, 23rd and last day</w:t>
      </w:r>
      <w:r>
        <w:rPr>
          <w:b/>
          <w:bCs/>
        </w:rPr>
        <w:t xml:space="preserve"> </w:t>
      </w:r>
      <w:r>
        <w:rPr>
          <w:b/>
          <w:bCs/>
        </w:rPr>
        <w:t xml:space="preserve">of the month</w:t>
      </w:r>
      <w:r>
        <w:t xml:space="preserve"> </w:t>
      </w:r>
      <w:r>
        <w:t xml:space="preserve">— the reference dates. The full file, covering all active</w:t>
      </w:r>
      <w:r>
        <w:t xml:space="preserve"> </w:t>
      </w:r>
      <w:r>
        <w:t xml:space="preserve">accounts, is submitted as on the last day of the month by the</w:t>
      </w:r>
      <w:r>
        <w:t xml:space="preserve"> </w:t>
      </w:r>
      <w:r>
        <w:rPr>
          <w:b/>
          <w:bCs/>
        </w:rPr>
        <w:t xml:space="preserve">5th day of the</w:t>
      </w:r>
      <w:r>
        <w:rPr>
          <w:b/>
          <w:bCs/>
        </w:rPr>
        <w:t xml:space="preserve"> </w:t>
      </w:r>
      <w:r>
        <w:rPr>
          <w:b/>
          <w:bCs/>
        </w:rPr>
        <w:t xml:space="preserve">following month</w:t>
      </w:r>
      <w:r>
        <w:t xml:space="preserve">. For the other three reference dates only incremental accounts</w:t>
      </w:r>
      <w:r>
        <w:t xml:space="preserve"> </w:t>
      </w:r>
      <w:r>
        <w:t xml:space="preserve">are furnished, within</w:t>
      </w:r>
      <w:r>
        <w:t xml:space="preserve"> </w:t>
      </w:r>
      <w:r>
        <w:rPr>
          <w:b/>
          <w:bCs/>
        </w:rPr>
        <w:t xml:space="preserve">four calendar days</w:t>
      </w:r>
      <w:r>
        <w:t xml:space="preserve"> </w:t>
      </w:r>
      <w:r>
        <w:t xml:space="preserve">of the reference date.</w:t>
      </w:r>
    </w:p>
    <w:p>
      <w:pPr>
        <w:pStyle w:val="BodyText"/>
      </w:pPr>
      <w:r>
        <w:t xml:space="preserve">This replaces the earlier fortnightly cycle. Staff who learned the old 15th and</w:t>
      </w:r>
      <w:r>
        <w:t xml:space="preserve"> </w:t>
      </w:r>
      <w:r>
        <w:t xml:space="preserve">month-end pattern must unlearn it.</w:t>
      </w:r>
    </w:p>
    <w:p>
      <w:pPr>
        <w:pStyle w:val="BodyText"/>
      </w:pPr>
      <w:r>
        <w:t xml:space="preserve">Two consequences follow, and collections staff must understand both.</w:t>
      </w:r>
    </w:p>
    <w:p>
      <w:pPr>
        <w:pStyle w:val="BodyText"/>
      </w:pPr>
      <w:r>
        <w:t xml:space="preserve">First, a bureau record is a fact as at its reference date, not as at today. The</w:t>
      </w:r>
      <w:r>
        <w:t xml:space="preserve"> </w:t>
      </w:r>
      <w:r>
        <w:t xml:space="preserve">lag is now short — four days for an incremental submission, and up to eleven for</w:t>
      </w:r>
      <w:r>
        <w:t xml:space="preserve"> </w:t>
      </w:r>
      <w:r>
        <w:t xml:space="preserve">the month-end full file — but it is never zero. A borrower who says they have</w:t>
      </w:r>
      <w:r>
        <w:t xml:space="preserve"> </w:t>
      </w:r>
      <w:r>
        <w:t xml:space="preserve">paid may be telling the truth about an event the bureau has not yet received.</w:t>
      </w:r>
    </w:p>
    <w:p>
      <w:pPr>
        <w:pStyle w:val="BodyText"/>
      </w:pPr>
      <w:r>
        <w:t xml:space="preserve">Second, reporting a default is not a silent internal act. Paragraph 34(1)(i)</w:t>
      </w:r>
      <w:r>
        <w:t xml:space="preserve"> </w:t>
      </w:r>
      <w:r>
        <w:t xml:space="preserve">requires the credit institution to send an SMS or email alert to the customer</w:t>
      </w:r>
      <w:r>
        <w:t xml:space="preserve"> </w:t>
      </w:r>
      <w:r>
        <w:t xml:space="preserve">when submitting information to credit information companies regarding default or</w:t>
      </w:r>
      <w:r>
        <w:t xml:space="preserve"> </w:t>
      </w:r>
      <w:r>
        <w:t xml:space="preserve">days past due, wherever a mobile number or email address is held. The borrower is</w:t>
      </w:r>
      <w:r>
        <w:t xml:space="preserve"> </w:t>
      </w:r>
      <w:r>
        <w:t xml:space="preserve">told.</w:t>
      </w:r>
    </w:p>
    <w:p>
      <w:pPr>
        <w:pStyle w:val="BodyText"/>
      </w:pPr>
      <w:r>
        <w:t xml:space="preserve">Staff must not use bureau reporting as a threat to induce payment. It is a</w:t>
      </w:r>
      <w:r>
        <w:t xml:space="preserve"> </w:t>
      </w:r>
      <w:r>
        <w:t xml:space="preserve">regulatory obligation performed on a fixed cycle, not a discretionary consequence</w:t>
      </w:r>
      <w:r>
        <w:t xml:space="preserve"> </w:t>
      </w:r>
      <w:r>
        <w:t xml:space="preserve">that can be applied or withheld, and describing it as one is a false</w:t>
      </w:r>
      <w:r>
        <w:t xml:space="preserve"> </w:t>
      </w:r>
      <w:r>
        <w:t xml:space="preserve">representation under section 4.2.</w:t>
      </w:r>
    </w:p>
    <w:p>
      <w:pPr>
        <w:pStyle w:val="BodyText"/>
      </w:pPr>
      <w:r>
        <w:t xml:space="preserve">A borrower disputing reported information must be directed to the grievance</w:t>
      </w:r>
      <w:r>
        <w:t xml:space="preserve"> </w:t>
      </w:r>
      <w:r>
        <w:t xml:space="preserve">process. Paragraph 35(1) entitles a complainant to compensation of ₹100 per</w:t>
      </w:r>
      <w:r>
        <w:t xml:space="preserve"> </w:t>
      </w:r>
      <w:r>
        <w:t xml:space="preserve">calendar day where resolution is delayed beyond the prescribed period.</w:t>
      </w:r>
    </w:p>
    <w:bookmarkEnd w:id="23"/>
    <w:bookmarkStart w:id="24" w:name="suspected-fraud-escalation"/>
    <w:p>
      <w:pPr>
        <w:pStyle w:val="Heading2"/>
      </w:pPr>
      <w:r>
        <w:t xml:space="preserve">8.1 Suspected fraud escalation</w:t>
      </w:r>
    </w:p>
    <w:p>
      <w:pPr>
        <w:pStyle w:val="FirstParagraph"/>
      </w:pPr>
      <w:r>
        <w:t xml:space="preserve">Where collections activity gives rise to a suspicion of fraud, the account is</w:t>
      </w:r>
      <w:r>
        <w:t xml:space="preserve"> </w:t>
      </w:r>
      <w:r>
        <w:t xml:space="preserve">escalated to the Fraud Risk Management unit and</w:t>
      </w:r>
      <w:r>
        <w:t xml:space="preserve"> </w:t>
      </w:r>
      <w:r>
        <w:rPr>
          <w:b/>
          <w:bCs/>
        </w:rPr>
        <w:t xml:space="preserve">all collections action on it</w:t>
      </w:r>
      <w:r>
        <w:rPr>
          <w:b/>
          <w:bCs/>
        </w:rPr>
        <w:t xml:space="preserve"> </w:t>
      </w:r>
      <w:r>
        <w:rPr>
          <w:b/>
          <w:bCs/>
        </w:rPr>
        <w:t xml:space="preserve">stops immediately</w:t>
      </w:r>
      <w:r>
        <w:t xml:space="preserve">.</w:t>
      </w:r>
    </w:p>
    <w:p>
      <w:pPr>
        <w:pStyle w:val="BodyText"/>
      </w:pPr>
      <w:r>
        <w:t xml:space="preserve">Indicators include an institution that denies the borrower was ever enrolled,</w:t>
      </w:r>
      <w:r>
        <w:t xml:space="preserve"> </w:t>
      </w:r>
      <w:r>
        <w:t xml:space="preserve">identity documents that do not match on re-verification, a disbursement account</w:t>
      </w:r>
      <w:r>
        <w:t xml:space="preserve"> </w:t>
      </w:r>
      <w:r>
        <w:t xml:space="preserve">that does not belong to the named borrower, and a cluster of accounts sharing an</w:t>
      </w:r>
      <w:r>
        <w:t xml:space="preserve"> </w:t>
      </w:r>
      <w:r>
        <w:t xml:space="preserve">address, a device or a bank account.</w:t>
      </w:r>
    </w:p>
    <w:p>
      <w:pPr>
        <w:pStyle w:val="BodyText"/>
      </w:pPr>
      <w:r>
        <w:t xml:space="preserve">On escalation the analyst stops contact, stops any scheduled presentation, and</w:t>
      </w:r>
      <w:r>
        <w:t xml:space="preserve"> </w:t>
      </w:r>
      <w:r>
        <w:t xml:space="preserve">does not tell the borrower that a fraud review is under way. Continuing to pursue</w:t>
      </w:r>
      <w:r>
        <w:t xml:space="preserve"> </w:t>
      </w:r>
      <w:r>
        <w:t xml:space="preserve">recovery on an account under fraud review contaminates the investigation and may</w:t>
      </w:r>
      <w:r>
        <w:t xml:space="preserve"> </w:t>
      </w:r>
      <w:r>
        <w:t xml:space="preserve">prejudice the company’s position.</w:t>
      </w:r>
    </w:p>
    <w:p>
      <w:pPr>
        <w:pStyle w:val="BodyText"/>
      </w:pPr>
      <w:r>
        <w:t xml:space="preserve">The RBI (NBFC – Fraud Risk Management) Directions, 2026 require NBFCs in the</w:t>
      </w:r>
      <w:r>
        <w:t xml:space="preserve"> </w:t>
      </w:r>
      <w:r>
        <w:t xml:space="preserve">Upper Layer and Middle Layer to maintain a framework for Early Warning Signals</w:t>
      </w:r>
      <w:r>
        <w:t xml:space="preserve"> </w:t>
      </w:r>
      <w:r>
        <w:t xml:space="preserve">(paragraph 13), and to identify appropriate early warning indicators for</w:t>
      </w:r>
      <w:r>
        <w:t xml:space="preserve"> </w:t>
      </w:r>
      <w:r>
        <w:t xml:space="preserve">monitoring credit facilities and loan accounts, with suspicion of fraudulent</w:t>
      </w:r>
      <w:r>
        <w:t xml:space="preserve"> </w:t>
      </w:r>
      <w:r>
        <w:t xml:space="preserve">activity thrown up by one or more EWS indicators triggering further examination</w:t>
      </w:r>
      <w:r>
        <w:t xml:space="preserve"> </w:t>
      </w:r>
      <w:r>
        <w:t xml:space="preserve">(paragraph 15). This company is Middle Layer, so the framework is mandatory.</w:t>
      </w:r>
    </w:p>
    <w:p>
      <w:pPr>
        <w:pStyle w:val="BodyText"/>
      </w:pPr>
      <w:r>
        <w:t xml:space="preserve">Paragraph 6(1) requires a detailed Show Cause Notice to the persons, entities and</w:t>
      </w:r>
      <w:r>
        <w:t xml:space="preserve"> </w:t>
      </w:r>
      <w:r>
        <w:t xml:space="preserve">their promoters or whole-time and executive directors against whom an allegation</w:t>
      </w:r>
      <w:r>
        <w:t xml:space="preserve"> </w:t>
      </w:r>
      <w:r>
        <w:t xml:space="preserve">of fraud is being examined, giving complete details of the transactions, actions</w:t>
      </w:r>
      <w:r>
        <w:t xml:space="preserve"> </w:t>
      </w:r>
      <w:r>
        <w:t xml:space="preserve">or events on which declaration and reporting of fraud is contemplated. Reaching a</w:t>
      </w:r>
      <w:r>
        <w:t xml:space="preserve"> </w:t>
      </w:r>
      <w:r>
        <w:t xml:space="preserve">conclusion before that process has run is not open to the company.</w:t>
      </w:r>
    </w:p>
    <w:p>
      <w:pPr>
        <w:pStyle w:val="BodyText"/>
      </w:pPr>
      <w:r>
        <w:t xml:space="preserve">This section is restricted. Its contents must not be discussed with the borrower,</w:t>
      </w:r>
      <w:r>
        <w:t xml:space="preserve"> </w:t>
      </w:r>
      <w:r>
        <w:t xml:space="preserve">with an outsourced agent, or with staff outside the Fraud Risk Management unit</w:t>
      </w:r>
      <w:r>
        <w:t xml:space="preserve"> </w:t>
      </w:r>
      <w:r>
        <w:t xml:space="preserve">and the Head of Collections.</w:t>
      </w:r>
    </w:p>
    <w:bookmarkEnd w:id="24"/>
    <w:bookmarkStart w:id="25" w:name="wilful-default-assessment"/>
    <w:p>
      <w:pPr>
        <w:pStyle w:val="Heading2"/>
      </w:pPr>
      <w:r>
        <w:t xml:space="preserve">8.2 Wilful default assessment</w:t>
      </w:r>
    </w:p>
    <w:p>
      <w:pPr>
        <w:pStyle w:val="FirstParagraph"/>
      </w:pPr>
      <w:r>
        <w:t xml:space="preserve">Wilful default is a finding about a borrower’s conduct, not a description of</w:t>
      </w:r>
      <w:r>
        <w:t xml:space="preserve"> </w:t>
      </w:r>
      <w:r>
        <w:t xml:space="preserve">their arrears. A borrower who cannot pay is not a wilful defaulter; a borrower</w:t>
      </w:r>
      <w:r>
        <w:t xml:space="preserve"> </w:t>
      </w:r>
      <w:r>
        <w:t xml:space="preserve">who can pay and does not, or who diverts the funds, may be.</w:t>
      </w:r>
    </w:p>
    <w:p>
      <w:pPr>
        <w:pStyle w:val="BodyText"/>
      </w:pPr>
      <w:r>
        <w:t xml:space="preserve">Collections staff do not make this finding. Where the indicators below appear,</w:t>
      </w:r>
      <w:r>
        <w:t xml:space="preserve"> </w:t>
      </w:r>
      <w:r>
        <w:t xml:space="preserve">the account is referred to the Wilful Default Identification Committee and</w:t>
      </w:r>
      <w:r>
        <w:t xml:space="preserve"> </w:t>
      </w:r>
      <w:r>
        <w:t xml:space="preserve">collections continues unchanged in the meantime.</w:t>
      </w:r>
    </w:p>
    <w:p>
      <w:pPr>
        <w:pStyle w:val="BodyText"/>
      </w:pPr>
      <w:r>
        <w:t xml:space="preserve">Indicators: the borrower has the capacity to pay and has not; funds have been</w:t>
      </w:r>
      <w:r>
        <w:t xml:space="preserve"> </w:t>
      </w:r>
      <w:r>
        <w:t xml:space="preserve">diverted to a purpose other than the sanctioned one; the education for which the</w:t>
      </w:r>
      <w:r>
        <w:t xml:space="preserve"> </w:t>
      </w:r>
      <w:r>
        <w:t xml:space="preserve">loan was taken was never commenced or was abandoned while funds were retained;</w:t>
      </w:r>
      <w:r>
        <w:t xml:space="preserve"> </w:t>
      </w:r>
      <w:r>
        <w:t xml:space="preserve">or the borrower has disposed of assets given as security without consent.</w:t>
      </w:r>
    </w:p>
    <w:p>
      <w:pPr>
        <w:pStyle w:val="BodyText"/>
      </w:pPr>
      <w:r>
        <w:t xml:space="preserve">The consequences of a wilful default finding are severe and long-lasting,</w:t>
      </w:r>
      <w:r>
        <w:t xml:space="preserve"> </w:t>
      </w:r>
      <w:r>
        <w:t xml:space="preserve">including exclusion from further credit across the system. The Reserve Bank’s</w:t>
      </w:r>
      <w:r>
        <w:t xml:space="preserve"> </w:t>
      </w:r>
      <w:r>
        <w:t xml:space="preserve">directions on treatment of wilful defaulters require an identification process,</w:t>
      </w:r>
      <w:r>
        <w:t xml:space="preserve"> </w:t>
      </w:r>
      <w:r>
        <w:t xml:space="preserve">a show cause opportunity and a review mechanism before any such classification.</w:t>
      </w:r>
      <w:r>
        <w:t xml:space="preserve"> </w:t>
      </w:r>
      <w:r>
        <w:t xml:space="preserve">Staff must not anticipate the outcome.</w:t>
      </w:r>
    </w:p>
    <w:p>
      <w:pPr>
        <w:pStyle w:val="BodyText"/>
      </w:pPr>
      <w:r>
        <w:t xml:space="preserve">Above all, staff must never tell a borrower they will be</w:t>
      </w:r>
      <w:r>
        <w:t xml:space="preserve"> </w:t>
      </w:r>
      <w:r>
        <w:t xml:space="preserve">“declared a wilful</w:t>
      </w:r>
      <w:r>
        <w:t xml:space="preserve"> </w:t>
      </w:r>
      <w:r>
        <w:t xml:space="preserve">defaulter”</w:t>
      </w:r>
      <w:r>
        <w:t xml:space="preserve"> </w:t>
      </w:r>
      <w:r>
        <w:t xml:space="preserve">to induce payment. It is a false and misleading representation under</w:t>
      </w:r>
      <w:r>
        <w:t xml:space="preserve"> </w:t>
      </w:r>
      <w:r>
        <w:t xml:space="preserve">Collections SOP 4.2, and it misdescribes a process the collections team does not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This section is restricted.</w:t>
      </w:r>
    </w:p>
    <w:bookmarkEnd w:id="25"/>
    <w:bookmarkStart w:id="26" w:name="agent-misconduct-and-blacklisting"/>
    <w:p>
      <w:pPr>
        <w:pStyle w:val="Heading2"/>
      </w:pPr>
      <w:r>
        <w:t xml:space="preserve">9.1 Agent misconduct and blacklisting</w:t>
      </w:r>
    </w:p>
    <w:p>
      <w:pPr>
        <w:pStyle w:val="FirstParagraph"/>
      </w:pPr>
      <w:r>
        <w:t xml:space="preserve">A credible allegation that a recovery agent has breached Collections SOP 4.2</w:t>
      </w:r>
      <w:r>
        <w:t xml:space="preserve"> </w:t>
      </w:r>
      <w:r>
        <w:t xml:space="preserve">results in immediate suspension of that agent from the portfolio, pending review.</w:t>
      </w:r>
    </w:p>
    <w:p>
      <w:pPr>
        <w:pStyle w:val="BodyText"/>
      </w:pPr>
      <w:r>
        <w:t xml:space="preserve">Suspension is not a finding of guilt and is not a disciplinary act against the</w:t>
      </w:r>
      <w:r>
        <w:t xml:space="preserve"> </w:t>
      </w:r>
      <w:r>
        <w:t xml:space="preserve">agency. It is a control: while an allegation of intimidation or harassment is</w:t>
      </w:r>
      <w:r>
        <w:t xml:space="preserve"> </w:t>
      </w:r>
      <w:r>
        <w:t xml:space="preserve">open, the company cannot allow the person complained of to continue contacting</w:t>
      </w:r>
      <w:r>
        <w:t xml:space="preserve"> </w:t>
      </w:r>
      <w:r>
        <w:t xml:space="preserve">borrowers on its behalf.</w:t>
      </w:r>
    </w:p>
    <w:p>
      <w:pPr>
        <w:pStyle w:val="BodyText"/>
      </w:pPr>
      <w:r>
        <w:t xml:space="preserve">The review establishes what contact occurred, from the contact history and the</w:t>
      </w:r>
      <w:r>
        <w:t xml:space="preserve"> </w:t>
      </w:r>
      <w:r>
        <w:t xml:space="preserve">agency’s own records, and whether it fell within the hours in section 4.1 and the</w:t>
      </w:r>
      <w:r>
        <w:t xml:space="preserve"> </w:t>
      </w:r>
      <w:r>
        <w:t xml:space="preserve">conduct rules in section 4.2. The complainant is contacted and their account</w:t>
      </w:r>
      <w:r>
        <w:t xml:space="preserve"> </w:t>
      </w:r>
      <w:r>
        <w:t xml:space="preserve">recorded verbatim.</w:t>
      </w:r>
    </w:p>
    <w:p>
      <w:pPr>
        <w:pStyle w:val="BodyText"/>
      </w:pPr>
      <w:r>
        <w:t xml:space="preserve">A substantiated breach results in removal of the individual from the authorised</w:t>
      </w:r>
      <w:r>
        <w:t xml:space="preserve"> </w:t>
      </w:r>
      <w:r>
        <w:t xml:space="preserve">list and, where the agency’s supervision is found wanting, termination of the</w:t>
      </w:r>
      <w:r>
        <w:t xml:space="preserve"> </w:t>
      </w:r>
      <w:r>
        <w:t xml:space="preserve">agency engagement. Paragraph 97 of the RBI (NBFC – Responsible Business Conduct)</w:t>
      </w:r>
      <w:r>
        <w:t xml:space="preserve"> </w:t>
      </w:r>
      <w:r>
        <w:t xml:space="preserve">Directions, 2025 requires the up-to-date list of engaged recovery agencies to be</w:t>
      </w:r>
      <w:r>
        <w:t xml:space="preserve"> </w:t>
      </w:r>
      <w:r>
        <w:t xml:space="preserve">published on the company’s website, so a removal is visible externally and the</w:t>
      </w:r>
      <w:r>
        <w:t xml:space="preserve"> </w:t>
      </w:r>
      <w:r>
        <w:t xml:space="preserve">list must be corrected promptly.</w:t>
      </w:r>
    </w:p>
    <w:p>
      <w:pPr>
        <w:pStyle w:val="BodyText"/>
      </w:pPr>
      <w:r>
        <w:t xml:space="preserve">Paragraph 100 makes the company responsible for ensuring that neither it nor its</w:t>
      </w:r>
      <w:r>
        <w:t xml:space="preserve"> </w:t>
      </w:r>
      <w:r>
        <w:t xml:space="preserve">agents engages in the prohibited conduct. A pattern of substantiated complaints</w:t>
      </w:r>
      <w:r>
        <w:t xml:space="preserve"> </w:t>
      </w:r>
      <w:r>
        <w:t xml:space="preserve">against one agency is a failure of the company’s own oversight, not only the</w:t>
      </w:r>
      <w:r>
        <w:t xml:space="preserve"> </w:t>
      </w:r>
      <w:r>
        <w:t xml:space="preserve">agency’s.</w:t>
      </w:r>
    </w:p>
    <w:p>
      <w:pPr>
        <w:pStyle w:val="BodyText"/>
      </w:pPr>
      <w:r>
        <w:t xml:space="preserve">This section is restricted. Allegations, reviews and outcomes concern named</w:t>
      </w:r>
      <w:r>
        <w:t xml:space="preserve"> </w:t>
      </w:r>
      <w:r>
        <w:t xml:space="preserve">individuals and must not be discussed outside the review.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Standard Operating Procedure</dc:title>
  <dc:creator>Vidyanidhi Education Finance Limited</dc:creator>
  <cp:keywords/>
  <dcterms:created xsi:type="dcterms:W3CDTF">2026-09-22T11:27:49Z</dcterms:created>
  <dcterms:modified xsi:type="dcterms:W3CDTF">2026-09-22T11:27:49Z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Current version</vt:lpwstr>
  </property>
</Properties>
</file>