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Mandate Operations Standard Operating Procedure</w:t>
      </w:r>
    </w:p>
    <w:p>
      <w:pPr>
        <w:pStyle w:val="Author"/>
      </w:pPr>
      <w:r>
        <w:t xml:space="preserve">Vidyanidhi Education Finance Limited</w:t>
      </w:r>
    </w:p>
    <w:p>
      <w:pPr>
        <w:pStyle w:val="Date"/>
      </w:pPr>
      <w:r>
        <w:t xml:space="preserve">Current version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mandate-registration"/>
    <w:p>
      <w:pPr>
        <w:pStyle w:val="Heading2"/>
      </w:pPr>
      <w:r>
        <w:t xml:space="preserve">1.1 Mandate registration</w:t>
      </w:r>
    </w:p>
    <w:p>
      <w:pPr>
        <w:pStyle w:val="FirstParagraph"/>
      </w:pPr>
      <w:r>
        <w:t xml:space="preserve">A payment mandate authorises the company to debit the borrower’s bank account</w:t>
      </w:r>
      <w:r>
        <w:t xml:space="preserve"> </w:t>
      </w:r>
      <w:r>
        <w:t xml:space="preserve">for the monthly instalment. Registration is completed before the first</w:t>
      </w:r>
      <w:r>
        <w:t xml:space="preserve"> </w:t>
      </w:r>
      <w:r>
        <w:t xml:space="preserve">instalment falls due.</w:t>
      </w:r>
    </w:p>
    <w:p>
      <w:pPr>
        <w:pStyle w:val="BodyText"/>
      </w:pPr>
      <w:r>
        <w:t xml:space="preserve">Mandates are registered electronically through NACH, using either the Aadhaar or</w:t>
      </w:r>
      <w:r>
        <w:t xml:space="preserve"> </w:t>
      </w:r>
      <w:r>
        <w:t xml:space="preserve">net-banking authentication route, or by physical form where the borrower’s bank</w:t>
      </w:r>
      <w:r>
        <w:t xml:space="preserve"> </w:t>
      </w:r>
      <w:r>
        <w:t xml:space="preserve">does not support the electronic route. The electronic route is preferred because</w:t>
      </w:r>
      <w:r>
        <w:t xml:space="preserve"> </w:t>
      </w:r>
      <w:r>
        <w:t xml:space="preserve">it fails fast and visibly; a physical form can sit unregistered for weeks.</w:t>
      </w:r>
    </w:p>
    <w:p>
      <w:pPr>
        <w:pStyle w:val="BodyText"/>
      </w:pPr>
      <w:r>
        <w:t xml:space="preserve">Registration must capture the borrower’s own operative bank account. A mandate</w:t>
      </w:r>
      <w:r>
        <w:t xml:space="preserve"> </w:t>
      </w:r>
      <w:r>
        <w:t xml:space="preserve">against a third party’s account, including a parent who is not a co-applicant, is</w:t>
      </w:r>
      <w:r>
        <w:t xml:space="preserve"> </w:t>
      </w:r>
      <w:r>
        <w:t xml:space="preserve">not acceptable and must be rejected at source.</w:t>
      </w:r>
    </w:p>
    <w:p>
      <w:pPr>
        <w:pStyle w:val="BodyText"/>
      </w:pPr>
      <w:r>
        <w:t xml:space="preserve">The registered mandate amount must be at least the instalment amount. Where the</w:t>
      </w:r>
      <w:r>
        <w:t xml:space="preserve"> </w:t>
      </w:r>
      <w:r>
        <w:t xml:space="preserve">sanction provides for a step-up schedule, the mandate is registered for the</w:t>
      </w:r>
      <w:r>
        <w:t xml:space="preserve"> </w:t>
      </w:r>
      <w:r>
        <w:t xml:space="preserve">highest scheduled instalment, so that the mandate does not have to be replaced</w:t>
      </w:r>
      <w:r>
        <w:t xml:space="preserve"> </w:t>
      </w:r>
      <w:r>
        <w:t xml:space="preserve">mid-tenure.</w:t>
      </w:r>
    </w:p>
    <w:p>
      <w:pPr>
        <w:pStyle w:val="BodyText"/>
      </w:pPr>
      <w:r>
        <w:t xml:space="preserve">A mandate is active only once the sponsor bank confirms registration. Until that</w:t>
      </w:r>
      <w:r>
        <w:t xml:space="preserve"> </w:t>
      </w:r>
      <w:r>
        <w:t xml:space="preserve">confirmation is received the account has no working auto-debit, and the borrower</w:t>
      </w:r>
      <w:r>
        <w:t xml:space="preserve"> </w:t>
      </w:r>
      <w:r>
        <w:t xml:space="preserve">must be told in writing that payment remains their responsibility for the coming</w:t>
      </w:r>
      <w:r>
        <w:t xml:space="preserve"> </w:t>
      </w:r>
      <w:r>
        <w:t xml:space="preserve">cycle. Assuming a mandate is live because a form was submitted is the most common</w:t>
      </w:r>
      <w:r>
        <w:t xml:space="preserve"> </w:t>
      </w:r>
      <w:r>
        <w:t xml:space="preserve">cause of an avoidable first-instalment default on this portfolio.</w:t>
      </w:r>
    </w:p>
    <w:p>
      <w:pPr>
        <w:pStyle w:val="BodyText"/>
      </w:pPr>
      <w:r>
        <w:t xml:space="preserve">Rejection reasons must be recorded verbatim, not summarised, because the reason</w:t>
      </w:r>
      <w:r>
        <w:t xml:space="preserve"> </w:t>
      </w:r>
      <w:r>
        <w:t xml:space="preserve">code determines whether repair under Collections SOP 3.2 will help.</w:t>
      </w:r>
    </w:p>
    <w:bookmarkEnd w:id="9"/>
    <w:bookmarkStart w:id="10" w:name="mandate-presentation-and-re-presentation"/>
    <w:p>
      <w:pPr>
        <w:pStyle w:val="Heading2"/>
      </w:pPr>
      <w:r>
        <w:t xml:space="preserve">1.2 Mandate presentation and re-presentation</w:t>
      </w:r>
    </w:p>
    <w:p>
      <w:pPr>
        <w:pStyle w:val="FirstParagraph"/>
      </w:pPr>
      <w:r>
        <w:t xml:space="preserve">Mandates are presented for debit on the instalment due date recorded against</w:t>
      </w:r>
      <w:r>
        <w:t xml:space="preserve"> </w:t>
      </w:r>
      <w:r>
        <w:t xml:space="preserve">the loan.</w:t>
      </w:r>
    </w:p>
    <w:p>
      <w:pPr>
        <w:pStyle w:val="BodyText"/>
      </w:pPr>
      <w:r>
        <w:t xml:space="preserve">Where a presentation fails, a re-presentation may be made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 the same</w:t>
      </w:r>
      <w:r>
        <w:t xml:space="preserve"> </w:t>
      </w:r>
      <w:r>
        <w:t xml:space="preserve">month, not earlier than three working days after the original attempt. This gives</w:t>
      </w:r>
      <w:r>
        <w:t xml:space="preserve"> </w:t>
      </w:r>
      <w:r>
        <w:t xml:space="preserve">a borrower whose salary credit was delayed a genuine second chance without</w:t>
      </w:r>
      <w:r>
        <w:t xml:space="preserve"> </w:t>
      </w:r>
      <w:r>
        <w:t xml:space="preserve">subjecting the account to repeated debit attempts.</w:t>
      </w:r>
    </w:p>
    <w:p>
      <w:pPr>
        <w:pStyle w:val="BodyText"/>
      </w:pPr>
      <w:r>
        <w:t xml:space="preserve">A second failure in the same month closes the cycle. The account is then handled</w:t>
      </w:r>
      <w:r>
        <w:t xml:space="preserve"> </w:t>
      </w:r>
      <w:r>
        <w:t xml:space="preserve">under the collections process and no further presentation is made until the next</w:t>
      </w:r>
      <w:r>
        <w:t xml:space="preserve"> </w:t>
      </w:r>
      <w:r>
        <w:t xml:space="preserve">scheduled due date.</w:t>
      </w:r>
    </w:p>
    <w:p>
      <w:pPr>
        <w:pStyle w:val="BodyText"/>
      </w:pPr>
      <w:r>
        <w:t xml:space="preserve">Repeated presentation of a mandate that has already failed twice is prohibited.</w:t>
      </w:r>
      <w:r>
        <w:t xml:space="preserve"> </w:t>
      </w:r>
      <w:r>
        <w:t xml:space="preserve">Each failed attempt may attract a return charge from the borrower’s own bank, and</w:t>
      </w:r>
      <w:r>
        <w:t xml:space="preserve"> </w:t>
      </w:r>
      <w:r>
        <w:t xml:space="preserve">presenting repeatedly in the knowledge that the account is empty causes the</w:t>
      </w:r>
      <w:r>
        <w:t xml:space="preserve"> </w:t>
      </w:r>
      <w:r>
        <w:t xml:space="preserve">borrower direct financial harm for no realistic prospect of recovery.</w:t>
      </w:r>
    </w:p>
    <w:p>
      <w:pPr>
        <w:pStyle w:val="BodyText"/>
      </w:pPr>
      <w:r>
        <w:t xml:space="preserve">Re-presentation is not permitted at all where the failure reason indicates a</w:t>
      </w:r>
      <w:r>
        <w:t xml:space="preserve"> </w:t>
      </w:r>
      <w:r>
        <w:t xml:space="preserve">closed account, a revoked mandate, or an account frozen by the borrower’s bank.</w:t>
      </w:r>
      <w:r>
        <w:t xml:space="preserve"> </w:t>
      </w:r>
      <w:r>
        <w:t xml:space="preserve">Those are not timing failures and a further attempt cannot succeed; the correct</w:t>
      </w:r>
      <w:r>
        <w:t xml:space="preserve"> </w:t>
      </w:r>
      <w:r>
        <w:t xml:space="preserve">response is mandate repair under Collections SOP 3.2.</w:t>
      </w:r>
    </w:p>
    <w:p>
      <w:pPr>
        <w:pStyle w:val="BodyText"/>
      </w:pPr>
      <w:r>
        <w:t xml:space="preserve">Every presentation and its outcome must be recorded with the reason code as</w:t>
      </w:r>
      <w:r>
        <w:t xml:space="preserve"> </w:t>
      </w:r>
      <w:r>
        <w:t xml:space="preserve">returned by the sponsor bank.</w:t>
      </w:r>
    </w:p>
    <w:bookmarkEnd w:id="10"/>
    <w:bookmarkStart w:id="11" w:name="bounce-handling"/>
    <w:p>
      <w:pPr>
        <w:pStyle w:val="Heading2"/>
      </w:pPr>
      <w:r>
        <w:t xml:space="preserve">1.3 Bounce handling</w:t>
      </w:r>
    </w:p>
    <w:p>
      <w:pPr>
        <w:pStyle w:val="FirstParagraph"/>
      </w:pPr>
      <w:r>
        <w:t xml:space="preserve">A bounce is a failed presentation. Bounces are classified as technical or</w:t>
      </w:r>
      <w:r>
        <w:t xml:space="preserve"> </w:t>
      </w:r>
      <w:r>
        <w:t xml:space="preserve">financial, and the classification determines the response.</w:t>
      </w:r>
    </w:p>
    <w:p>
      <w:pPr>
        <w:pStyle w:val="BodyText"/>
      </w:pPr>
      <w:r>
        <w:rPr>
          <w:b/>
          <w:bCs/>
        </w:rPr>
        <w:t xml:space="preserve">Technical</w:t>
      </w:r>
      <w:r>
        <w:t xml:space="preserve"> </w:t>
      </w:r>
      <w:r>
        <w:t xml:space="preserve">bounces arise from mandate data, signature mismatch, an inactive</w:t>
      </w:r>
      <w:r>
        <w:t xml:space="preserve"> </w:t>
      </w:r>
      <w:r>
        <w:t xml:space="preserve">mandate or a sponsor-bank error. They indicate a broken instruction, not an</w:t>
      </w:r>
      <w:r>
        <w:t xml:space="preserve"> </w:t>
      </w:r>
      <w:r>
        <w:t xml:space="preserve">unwilling or unable borrower. The response is mandate repair under Collections</w:t>
      </w:r>
      <w:r>
        <w:t xml:space="preserve"> </w:t>
      </w:r>
      <w:r>
        <w:t xml:space="preserve">SOP 3.2. A technical bounce must not by itself trigger collections escalation.</w:t>
      </w:r>
    </w:p>
    <w:p>
      <w:pPr>
        <w:pStyle w:val="BodyText"/>
      </w:pPr>
      <w:r>
        <w:rPr>
          <w:b/>
          <w:bCs/>
        </w:rPr>
        <w:t xml:space="preserve">Financial</w:t>
      </w:r>
      <w:r>
        <w:t xml:space="preserve"> </w:t>
      </w:r>
      <w:r>
        <w:t xml:space="preserve">bounces arise from insufficient funds or a debit-frozen account.</w:t>
      </w:r>
      <w:r>
        <w:t xml:space="preserve"> </w:t>
      </w:r>
      <w:r>
        <w:t xml:space="preserve">They indicate a capacity or willingness problem and the account follows the</w:t>
      </w:r>
      <w:r>
        <w:t xml:space="preserve"> </w:t>
      </w:r>
      <w:r>
        <w:t xml:space="preserve">normal collections process from section 3.1.</w:t>
      </w:r>
    </w:p>
    <w:p>
      <w:pPr>
        <w:pStyle w:val="BodyText"/>
      </w:pPr>
      <w:r>
        <w:t xml:space="preserve">Misclassifying a technical bounce as financial is the more damaging of the two</w:t>
      </w:r>
      <w:r>
        <w:t xml:space="preserve"> </w:t>
      </w:r>
      <w:r>
        <w:t xml:space="preserve">errors: it puts a performing borrower into a collections queue and can produce a</w:t>
      </w:r>
      <w:r>
        <w:t xml:space="preserve"> </w:t>
      </w:r>
      <w:r>
        <w:t xml:space="preserve">field visit against an account that was never unwilling to pay.</w:t>
      </w:r>
    </w:p>
    <w:p>
      <w:pPr>
        <w:pStyle w:val="BodyText"/>
      </w:pPr>
      <w:r>
        <w:t xml:space="preserve">Any charge levied for a bounce is a penal charge under RBI/2023-24/53 and is</w:t>
      </w:r>
      <w:r>
        <w:t xml:space="preserve"> </w:t>
      </w:r>
      <w:r>
        <w:t xml:space="preserve">governed by Collections SOP 6.2. It is not interest, it is never capitalised, and</w:t>
      </w:r>
      <w:r>
        <w:t xml:space="preserve"> </w:t>
      </w:r>
      <w:r>
        <w:t xml:space="preserve">it is communicated to the borrower at the time of levy.</w:t>
      </w:r>
    </w:p>
    <w:p>
      <w:pPr>
        <w:pStyle w:val="BodyText"/>
      </w:pPr>
      <w:r>
        <w:t xml:space="preserve">Three consecutive financial bounces are an early warning signal in their own</w:t>
      </w:r>
      <w:r>
        <w:t xml:space="preserve"> </w:t>
      </w:r>
      <w:r>
        <w:t xml:space="preserve">right and must be raised for review irrespective of the days-past-due figure,</w:t>
      </w:r>
      <w:r>
        <w:t xml:space="preserve"> </w:t>
      </w:r>
      <w:r>
        <w:t xml:space="preserve">which may still be low if the borrower is paying manually after each failure.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Mandate Operations Standard Operating Procedure</dc:title>
  <dc:creator>Vidyanidhi Education Finance Limited</dc:creator>
  <cp:keywords/>
  <dcterms:created xsi:type="dcterms:W3CDTF">2026-09-22T11:27:49Z</dcterms:created>
  <dcterms:modified xsi:type="dcterms:W3CDTF">2026-09-22T11:27:49Z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Current version</vt:lpwstr>
  </property>
</Properties>
</file>