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63ED9" w14:textId="77777777" w:rsidR="00E30C5A" w:rsidRPr="00E30C5A" w:rsidRDefault="00E30C5A" w:rsidP="00E30C5A">
      <w:pPr>
        <w:rPr>
          <w:sz w:val="24"/>
          <w:szCs w:val="24"/>
        </w:rPr>
      </w:pPr>
      <w:r w:rsidRPr="00E30C5A">
        <w:rPr>
          <w:b/>
          <w:bCs/>
          <w:sz w:val="24"/>
          <w:szCs w:val="24"/>
        </w:rPr>
        <w:t>Project Title:</w:t>
      </w:r>
      <w:r w:rsidRPr="00E30C5A">
        <w:rPr>
          <w:sz w:val="24"/>
          <w:szCs w:val="24"/>
        </w:rPr>
        <w:t xml:space="preserve"> </w:t>
      </w:r>
      <w:r w:rsidRPr="00E30C5A">
        <w:rPr>
          <w:b/>
          <w:bCs/>
          <w:sz w:val="24"/>
          <w:szCs w:val="24"/>
        </w:rPr>
        <w:t>A Decade of Google Stock Performance: Price, Volatility, and Volume Trends (2015–2024)</w:t>
      </w:r>
    </w:p>
    <w:p w14:paraId="5835C1FA" w14:textId="77777777" w:rsidR="00E30C5A" w:rsidRPr="00E30C5A" w:rsidRDefault="00E30C5A" w:rsidP="00E30C5A">
      <w:r w:rsidRPr="00E30C5A">
        <w:pict w14:anchorId="08F7D6DA">
          <v:rect id="_x0000_i1073" style="width:0;height:1.5pt" o:hralign="center" o:hrstd="t" o:hr="t" fillcolor="#a0a0a0" stroked="f"/>
        </w:pict>
      </w:r>
    </w:p>
    <w:p w14:paraId="215F8809" w14:textId="77777777" w:rsidR="00E30C5A" w:rsidRPr="00E30C5A" w:rsidRDefault="00E30C5A" w:rsidP="00E30C5A">
      <w:r w:rsidRPr="00E30C5A">
        <w:rPr>
          <w:b/>
          <w:bCs/>
        </w:rPr>
        <w:t>Objective:</w:t>
      </w:r>
      <w:r w:rsidRPr="00E30C5A">
        <w:t xml:space="preserve"> To analyze the historical daily stock performance of Alphabet Inc. (GOOGL) from 2015 to 2024, using Tableau Public to visualize key metrics such as price trends, daily returns, trading volume, and volatility. The goal is to identify patterns, assess risk, and deliver actionable insights in a clean, interactive dashboard.</w:t>
      </w:r>
    </w:p>
    <w:p w14:paraId="68F2908B" w14:textId="77777777" w:rsidR="00E30C5A" w:rsidRPr="00E30C5A" w:rsidRDefault="00E30C5A" w:rsidP="00E30C5A">
      <w:r w:rsidRPr="00E30C5A">
        <w:pict w14:anchorId="26FA2A16">
          <v:rect id="_x0000_i1074" style="width:0;height:1.5pt" o:hralign="center" o:hrstd="t" o:hr="t" fillcolor="#a0a0a0" stroked="f"/>
        </w:pict>
      </w:r>
    </w:p>
    <w:p w14:paraId="3CA00514" w14:textId="77777777" w:rsidR="00E30C5A" w:rsidRPr="00E30C5A" w:rsidRDefault="00E30C5A" w:rsidP="00E30C5A">
      <w:r w:rsidRPr="00E30C5A">
        <w:rPr>
          <w:b/>
          <w:bCs/>
        </w:rPr>
        <w:t>Dataset Overview:</w:t>
      </w:r>
    </w:p>
    <w:p w14:paraId="61EFAF46" w14:textId="77777777" w:rsidR="00E30C5A" w:rsidRPr="00E30C5A" w:rsidRDefault="00E30C5A" w:rsidP="00E30C5A">
      <w:pPr>
        <w:numPr>
          <w:ilvl w:val="0"/>
          <w:numId w:val="1"/>
        </w:numPr>
      </w:pPr>
      <w:r w:rsidRPr="00E30C5A">
        <w:rPr>
          <w:b/>
          <w:bCs/>
        </w:rPr>
        <w:t>Source:</w:t>
      </w:r>
      <w:r w:rsidRPr="00E30C5A">
        <w:t xml:space="preserve"> Google Finance (via Kaggle)</w:t>
      </w:r>
    </w:p>
    <w:p w14:paraId="4323F68F" w14:textId="77777777" w:rsidR="00E30C5A" w:rsidRPr="00E30C5A" w:rsidRDefault="00E30C5A" w:rsidP="00E30C5A">
      <w:pPr>
        <w:numPr>
          <w:ilvl w:val="0"/>
          <w:numId w:val="1"/>
        </w:numPr>
      </w:pPr>
      <w:r w:rsidRPr="00E30C5A">
        <w:rPr>
          <w:b/>
          <w:bCs/>
        </w:rPr>
        <w:t>Ticker:</w:t>
      </w:r>
      <w:r w:rsidRPr="00E30C5A">
        <w:t xml:space="preserve"> GOOGL (Alphabet Inc. Class A shares)</w:t>
      </w:r>
    </w:p>
    <w:p w14:paraId="55B69587" w14:textId="77777777" w:rsidR="00E30C5A" w:rsidRPr="00E30C5A" w:rsidRDefault="00E30C5A" w:rsidP="00E30C5A">
      <w:pPr>
        <w:numPr>
          <w:ilvl w:val="0"/>
          <w:numId w:val="1"/>
        </w:numPr>
      </w:pPr>
      <w:r w:rsidRPr="00E30C5A">
        <w:rPr>
          <w:b/>
          <w:bCs/>
        </w:rPr>
        <w:t>Frequency:</w:t>
      </w:r>
      <w:r w:rsidRPr="00E30C5A">
        <w:t xml:space="preserve"> Daily trading days</w:t>
      </w:r>
    </w:p>
    <w:p w14:paraId="5893441E" w14:textId="77777777" w:rsidR="00E30C5A" w:rsidRPr="00E30C5A" w:rsidRDefault="00E30C5A" w:rsidP="00E30C5A">
      <w:pPr>
        <w:numPr>
          <w:ilvl w:val="0"/>
          <w:numId w:val="1"/>
        </w:numPr>
      </w:pPr>
      <w:r w:rsidRPr="00E30C5A">
        <w:rPr>
          <w:b/>
          <w:bCs/>
        </w:rPr>
        <w:t>Date Range:</w:t>
      </w:r>
      <w:r w:rsidRPr="00E30C5A">
        <w:t xml:space="preserve"> January 1, 2015 – December 31, 2024</w:t>
      </w:r>
    </w:p>
    <w:p w14:paraId="24A91834" w14:textId="77777777" w:rsidR="00E30C5A" w:rsidRPr="00E30C5A" w:rsidRDefault="00E30C5A" w:rsidP="00E30C5A">
      <w:pPr>
        <w:numPr>
          <w:ilvl w:val="0"/>
          <w:numId w:val="1"/>
        </w:numPr>
      </w:pPr>
      <w:r w:rsidRPr="00E30C5A">
        <w:rPr>
          <w:b/>
          <w:bCs/>
        </w:rPr>
        <w:t>Fields:</w:t>
      </w:r>
    </w:p>
    <w:p w14:paraId="06124C8D" w14:textId="77777777" w:rsidR="00E30C5A" w:rsidRPr="00E30C5A" w:rsidRDefault="00E30C5A" w:rsidP="00E30C5A">
      <w:pPr>
        <w:numPr>
          <w:ilvl w:val="1"/>
          <w:numId w:val="1"/>
        </w:numPr>
      </w:pPr>
      <w:r w:rsidRPr="00E30C5A">
        <w:t>Date</w:t>
      </w:r>
    </w:p>
    <w:p w14:paraId="070F5F8B" w14:textId="77777777" w:rsidR="00E30C5A" w:rsidRPr="00E30C5A" w:rsidRDefault="00E30C5A" w:rsidP="00E30C5A">
      <w:pPr>
        <w:numPr>
          <w:ilvl w:val="1"/>
          <w:numId w:val="1"/>
        </w:numPr>
      </w:pPr>
      <w:r w:rsidRPr="00E30C5A">
        <w:t>Open, High, Low, Close prices</w:t>
      </w:r>
    </w:p>
    <w:p w14:paraId="73D11250" w14:textId="77777777" w:rsidR="00E30C5A" w:rsidRPr="00E30C5A" w:rsidRDefault="00E30C5A" w:rsidP="00E30C5A">
      <w:pPr>
        <w:numPr>
          <w:ilvl w:val="1"/>
          <w:numId w:val="1"/>
        </w:numPr>
      </w:pPr>
      <w:r w:rsidRPr="00E30C5A">
        <w:t>Volume (number of shares traded)</w:t>
      </w:r>
    </w:p>
    <w:p w14:paraId="36B87775" w14:textId="77777777" w:rsidR="00E30C5A" w:rsidRPr="00E30C5A" w:rsidRDefault="00E30C5A" w:rsidP="00E30C5A">
      <w:r w:rsidRPr="00E30C5A">
        <w:pict w14:anchorId="662D4D01">
          <v:rect id="_x0000_i1075" style="width:0;height:1.5pt" o:hralign="center" o:hrstd="t" o:hr="t" fillcolor="#a0a0a0" stroked="f"/>
        </w:pict>
      </w:r>
    </w:p>
    <w:p w14:paraId="5DCB88A9" w14:textId="77777777" w:rsidR="00E30C5A" w:rsidRPr="00E30C5A" w:rsidRDefault="00E30C5A" w:rsidP="00E30C5A">
      <w:r w:rsidRPr="00E30C5A">
        <w:rPr>
          <w:b/>
          <w:bCs/>
        </w:rPr>
        <w:t>Data Enhancements:</w:t>
      </w:r>
      <w:r w:rsidRPr="00E30C5A">
        <w:t xml:space="preserve"> To enable deeper analysis, the following features were engineered:</w:t>
      </w:r>
    </w:p>
    <w:p w14:paraId="6446AE55" w14:textId="77777777" w:rsidR="00E30C5A" w:rsidRPr="00E30C5A" w:rsidRDefault="00E30C5A" w:rsidP="00E30C5A">
      <w:pPr>
        <w:numPr>
          <w:ilvl w:val="0"/>
          <w:numId w:val="2"/>
        </w:numPr>
      </w:pPr>
      <w:r w:rsidRPr="00E30C5A">
        <w:rPr>
          <w:b/>
          <w:bCs/>
        </w:rPr>
        <w:t>Year, Month, Year-Month:</w:t>
      </w:r>
      <w:r w:rsidRPr="00E30C5A">
        <w:t xml:space="preserve"> For time-based aggregation</w:t>
      </w:r>
    </w:p>
    <w:p w14:paraId="069AE526" w14:textId="77777777" w:rsidR="00E30C5A" w:rsidRPr="00E30C5A" w:rsidRDefault="00E30C5A" w:rsidP="00E30C5A">
      <w:pPr>
        <w:numPr>
          <w:ilvl w:val="0"/>
          <w:numId w:val="2"/>
        </w:numPr>
      </w:pPr>
      <w:r w:rsidRPr="00E30C5A">
        <w:rPr>
          <w:b/>
          <w:bCs/>
        </w:rPr>
        <w:t>Daily Return (%):</w:t>
      </w:r>
      <w:r w:rsidRPr="00E30C5A">
        <w:t xml:space="preserve"> (Today’s Close - Previous Close) / Previous Close * 100</w:t>
      </w:r>
    </w:p>
    <w:p w14:paraId="7F55965A" w14:textId="77777777" w:rsidR="00E30C5A" w:rsidRPr="00E30C5A" w:rsidRDefault="00E30C5A" w:rsidP="00E30C5A">
      <w:pPr>
        <w:numPr>
          <w:ilvl w:val="0"/>
          <w:numId w:val="2"/>
        </w:numPr>
      </w:pPr>
      <w:r w:rsidRPr="00E30C5A">
        <w:rPr>
          <w:b/>
          <w:bCs/>
        </w:rPr>
        <w:t>30-Day Moving Average (MA):</w:t>
      </w:r>
      <w:r w:rsidRPr="00E30C5A">
        <w:t xml:space="preserve"> Rolling average of Close over 30 trading days</w:t>
      </w:r>
    </w:p>
    <w:p w14:paraId="1175F9B4" w14:textId="77777777" w:rsidR="00E30C5A" w:rsidRPr="00E30C5A" w:rsidRDefault="00E30C5A" w:rsidP="00E30C5A">
      <w:pPr>
        <w:numPr>
          <w:ilvl w:val="0"/>
          <w:numId w:val="2"/>
        </w:numPr>
      </w:pPr>
      <w:r w:rsidRPr="00E30C5A">
        <w:rPr>
          <w:b/>
          <w:bCs/>
        </w:rPr>
        <w:t>Volatility:</w:t>
      </w:r>
      <w:r w:rsidRPr="00E30C5A">
        <w:t xml:space="preserve"> High - Low (daily price range)</w:t>
      </w:r>
    </w:p>
    <w:p w14:paraId="75F91D5E" w14:textId="77777777" w:rsidR="00E30C5A" w:rsidRPr="00E30C5A" w:rsidRDefault="00E30C5A" w:rsidP="00E30C5A">
      <w:r w:rsidRPr="00E30C5A">
        <w:pict w14:anchorId="72F01659">
          <v:rect id="_x0000_i1076" style="width:0;height:1.5pt" o:hralign="center" o:hrstd="t" o:hr="t" fillcolor="#a0a0a0" stroked="f"/>
        </w:pict>
      </w:r>
    </w:p>
    <w:p w14:paraId="70E89B14" w14:textId="77777777" w:rsidR="00E30C5A" w:rsidRPr="00E30C5A" w:rsidRDefault="00E30C5A" w:rsidP="00E30C5A">
      <w:r w:rsidRPr="00E30C5A">
        <w:rPr>
          <w:b/>
          <w:bCs/>
        </w:rPr>
        <w:t>Tools Used:</w:t>
      </w:r>
    </w:p>
    <w:p w14:paraId="269238E4" w14:textId="77777777" w:rsidR="00E30C5A" w:rsidRPr="00E30C5A" w:rsidRDefault="00E30C5A" w:rsidP="00E30C5A">
      <w:pPr>
        <w:numPr>
          <w:ilvl w:val="0"/>
          <w:numId w:val="3"/>
        </w:numPr>
      </w:pPr>
      <w:r w:rsidRPr="00E30C5A">
        <w:t>Tableau Public Desktop</w:t>
      </w:r>
    </w:p>
    <w:p w14:paraId="529D4896" w14:textId="77777777" w:rsidR="00E30C5A" w:rsidRPr="00E30C5A" w:rsidRDefault="00E30C5A" w:rsidP="00E30C5A">
      <w:pPr>
        <w:numPr>
          <w:ilvl w:val="0"/>
          <w:numId w:val="3"/>
        </w:numPr>
      </w:pPr>
      <w:r w:rsidRPr="00E30C5A">
        <w:t>Microsoft Excel / Python (for data pre-processing)</w:t>
      </w:r>
    </w:p>
    <w:p w14:paraId="76F68073" w14:textId="77777777" w:rsidR="00E30C5A" w:rsidRPr="00E30C5A" w:rsidRDefault="00E30C5A" w:rsidP="00E30C5A">
      <w:r w:rsidRPr="00E30C5A">
        <w:pict w14:anchorId="7F963F40">
          <v:rect id="_x0000_i1077" style="width:0;height:1.5pt" o:hralign="center" o:hrstd="t" o:hr="t" fillcolor="#a0a0a0" stroked="f"/>
        </w:pict>
      </w:r>
    </w:p>
    <w:p w14:paraId="69AAB370" w14:textId="77777777" w:rsidR="00E30C5A" w:rsidRPr="00E30C5A" w:rsidRDefault="00E30C5A" w:rsidP="00E30C5A">
      <w:r w:rsidRPr="00E30C5A">
        <w:rPr>
          <w:b/>
          <w:bCs/>
        </w:rPr>
        <w:t>Dashboard Components:</w:t>
      </w:r>
    </w:p>
    <w:p w14:paraId="54B2ACAC" w14:textId="77777777" w:rsidR="00E30C5A" w:rsidRPr="00E30C5A" w:rsidRDefault="00E30C5A" w:rsidP="00E30C5A">
      <w:r w:rsidRPr="00E30C5A">
        <w:rPr>
          <w:b/>
          <w:bCs/>
        </w:rPr>
        <w:t>1. Price Trend Visualization</w:t>
      </w:r>
    </w:p>
    <w:p w14:paraId="65972C48" w14:textId="77777777" w:rsidR="00E30C5A" w:rsidRPr="00E30C5A" w:rsidRDefault="00E30C5A" w:rsidP="00E30C5A">
      <w:pPr>
        <w:numPr>
          <w:ilvl w:val="0"/>
          <w:numId w:val="4"/>
        </w:numPr>
      </w:pPr>
      <w:r w:rsidRPr="00E30C5A">
        <w:rPr>
          <w:b/>
          <w:bCs/>
        </w:rPr>
        <w:t>Chart Type:</w:t>
      </w:r>
      <w:r w:rsidRPr="00E30C5A">
        <w:t xml:space="preserve"> Dual Line Chart</w:t>
      </w:r>
    </w:p>
    <w:p w14:paraId="738AB246" w14:textId="77777777" w:rsidR="00E30C5A" w:rsidRPr="00E30C5A" w:rsidRDefault="00E30C5A" w:rsidP="00E30C5A">
      <w:pPr>
        <w:numPr>
          <w:ilvl w:val="0"/>
          <w:numId w:val="4"/>
        </w:numPr>
      </w:pPr>
      <w:r w:rsidRPr="00E30C5A">
        <w:rPr>
          <w:b/>
          <w:bCs/>
        </w:rPr>
        <w:t>Fields:</w:t>
      </w:r>
      <w:r w:rsidRPr="00E30C5A">
        <w:t xml:space="preserve"> Close Price vs 30-Day Moving Average</w:t>
      </w:r>
    </w:p>
    <w:p w14:paraId="2AE62BC1" w14:textId="77777777" w:rsidR="00E30C5A" w:rsidRPr="00E30C5A" w:rsidRDefault="00E30C5A" w:rsidP="00E30C5A">
      <w:pPr>
        <w:numPr>
          <w:ilvl w:val="0"/>
          <w:numId w:val="4"/>
        </w:numPr>
      </w:pPr>
      <w:r w:rsidRPr="00E30C5A">
        <w:rPr>
          <w:b/>
          <w:bCs/>
        </w:rPr>
        <w:lastRenderedPageBreak/>
        <w:t>Time Frame:</w:t>
      </w:r>
      <w:r w:rsidRPr="00E30C5A">
        <w:t xml:space="preserve"> Full period (2015-2024)</w:t>
      </w:r>
    </w:p>
    <w:p w14:paraId="5B295C8F" w14:textId="77777777" w:rsidR="00E30C5A" w:rsidRPr="00E30C5A" w:rsidRDefault="00E30C5A" w:rsidP="00E30C5A">
      <w:pPr>
        <w:numPr>
          <w:ilvl w:val="0"/>
          <w:numId w:val="4"/>
        </w:numPr>
      </w:pPr>
      <w:r w:rsidRPr="00E30C5A">
        <w:rPr>
          <w:b/>
          <w:bCs/>
        </w:rPr>
        <w:t>Purpose:</w:t>
      </w:r>
      <w:r w:rsidRPr="00E30C5A">
        <w:t xml:space="preserve"> Understand long-term stock movement and smoothing of trends using MA</w:t>
      </w:r>
    </w:p>
    <w:p w14:paraId="5CD0C4CC" w14:textId="77777777" w:rsidR="00E30C5A" w:rsidRPr="00E30C5A" w:rsidRDefault="00E30C5A" w:rsidP="00E30C5A">
      <w:r w:rsidRPr="00E30C5A">
        <w:rPr>
          <w:b/>
          <w:bCs/>
        </w:rPr>
        <w:t>2. Daily Return Distribution (Histogram)</w:t>
      </w:r>
    </w:p>
    <w:p w14:paraId="501AA0B2" w14:textId="77777777" w:rsidR="00E30C5A" w:rsidRPr="00E30C5A" w:rsidRDefault="00E30C5A" w:rsidP="00E30C5A">
      <w:pPr>
        <w:numPr>
          <w:ilvl w:val="0"/>
          <w:numId w:val="5"/>
        </w:numPr>
      </w:pPr>
      <w:r w:rsidRPr="00E30C5A">
        <w:rPr>
          <w:b/>
          <w:bCs/>
        </w:rPr>
        <w:t>Chart Type:</w:t>
      </w:r>
      <w:r w:rsidRPr="00E30C5A">
        <w:t xml:space="preserve"> Histogram</w:t>
      </w:r>
    </w:p>
    <w:p w14:paraId="2893BDA8" w14:textId="77777777" w:rsidR="00E30C5A" w:rsidRPr="00E30C5A" w:rsidRDefault="00E30C5A" w:rsidP="00E30C5A">
      <w:pPr>
        <w:numPr>
          <w:ilvl w:val="0"/>
          <w:numId w:val="5"/>
        </w:numPr>
      </w:pPr>
      <w:r w:rsidRPr="00E30C5A">
        <w:rPr>
          <w:b/>
          <w:bCs/>
        </w:rPr>
        <w:t>Fields:</w:t>
      </w:r>
      <w:r w:rsidRPr="00E30C5A">
        <w:t xml:space="preserve"> Binned Daily Return (%)</w:t>
      </w:r>
    </w:p>
    <w:p w14:paraId="46DFAC93" w14:textId="77777777" w:rsidR="00E30C5A" w:rsidRPr="00E30C5A" w:rsidRDefault="00E30C5A" w:rsidP="00E30C5A">
      <w:pPr>
        <w:numPr>
          <w:ilvl w:val="0"/>
          <w:numId w:val="5"/>
        </w:numPr>
      </w:pPr>
      <w:r w:rsidRPr="00E30C5A">
        <w:rPr>
          <w:b/>
          <w:bCs/>
        </w:rPr>
        <w:t>Purpose:</w:t>
      </w:r>
      <w:r w:rsidRPr="00E30C5A">
        <w:t xml:space="preserve"> Analyze volatility and risk distribution. Identifies how frequently stock moves fall within certain return intervals.</w:t>
      </w:r>
    </w:p>
    <w:p w14:paraId="0DEC5561" w14:textId="77777777" w:rsidR="00E30C5A" w:rsidRPr="00E30C5A" w:rsidRDefault="00E30C5A" w:rsidP="00E30C5A">
      <w:r w:rsidRPr="00E30C5A">
        <w:rPr>
          <w:b/>
          <w:bCs/>
        </w:rPr>
        <w:t>3. Monthly Average Close Price</w:t>
      </w:r>
    </w:p>
    <w:p w14:paraId="3E9412C6" w14:textId="77777777" w:rsidR="00E30C5A" w:rsidRPr="00E30C5A" w:rsidRDefault="00E30C5A" w:rsidP="00E30C5A">
      <w:pPr>
        <w:numPr>
          <w:ilvl w:val="0"/>
          <w:numId w:val="6"/>
        </w:numPr>
      </w:pPr>
      <w:r w:rsidRPr="00E30C5A">
        <w:rPr>
          <w:b/>
          <w:bCs/>
        </w:rPr>
        <w:t>Chart Type:</w:t>
      </w:r>
      <w:r w:rsidRPr="00E30C5A">
        <w:t xml:space="preserve"> Line Chart</w:t>
      </w:r>
    </w:p>
    <w:p w14:paraId="51A11A08" w14:textId="77777777" w:rsidR="00E30C5A" w:rsidRPr="00E30C5A" w:rsidRDefault="00E30C5A" w:rsidP="00E30C5A">
      <w:pPr>
        <w:numPr>
          <w:ilvl w:val="0"/>
          <w:numId w:val="6"/>
        </w:numPr>
      </w:pPr>
      <w:r w:rsidRPr="00E30C5A">
        <w:rPr>
          <w:b/>
          <w:bCs/>
        </w:rPr>
        <w:t>Fields:</w:t>
      </w:r>
      <w:r w:rsidRPr="00E30C5A">
        <w:t xml:space="preserve"> Year-Month, AVG(Close)</w:t>
      </w:r>
    </w:p>
    <w:p w14:paraId="2C709886" w14:textId="77777777" w:rsidR="00E30C5A" w:rsidRPr="00E30C5A" w:rsidRDefault="00E30C5A" w:rsidP="00E30C5A">
      <w:pPr>
        <w:numPr>
          <w:ilvl w:val="0"/>
          <w:numId w:val="6"/>
        </w:numPr>
      </w:pPr>
      <w:r w:rsidRPr="00E30C5A">
        <w:rPr>
          <w:b/>
          <w:bCs/>
        </w:rPr>
        <w:t>Purpose:</w:t>
      </w:r>
      <w:r w:rsidRPr="00E30C5A">
        <w:t xml:space="preserve"> Observe average price fluctuations over time. Useful for seasonal trends.</w:t>
      </w:r>
    </w:p>
    <w:p w14:paraId="76980A91" w14:textId="77777777" w:rsidR="00E30C5A" w:rsidRPr="00E30C5A" w:rsidRDefault="00E30C5A" w:rsidP="00E30C5A">
      <w:r w:rsidRPr="00E30C5A">
        <w:rPr>
          <w:b/>
          <w:bCs/>
        </w:rPr>
        <w:t>4. Total Monthly Volume</w:t>
      </w:r>
    </w:p>
    <w:p w14:paraId="41DA5E3A" w14:textId="77777777" w:rsidR="00E30C5A" w:rsidRPr="00E30C5A" w:rsidRDefault="00E30C5A" w:rsidP="00E30C5A">
      <w:pPr>
        <w:numPr>
          <w:ilvl w:val="0"/>
          <w:numId w:val="7"/>
        </w:numPr>
      </w:pPr>
      <w:r w:rsidRPr="00E30C5A">
        <w:rPr>
          <w:b/>
          <w:bCs/>
        </w:rPr>
        <w:t>Chart Type:</w:t>
      </w:r>
      <w:r w:rsidRPr="00E30C5A">
        <w:t xml:space="preserve"> Bar Chart</w:t>
      </w:r>
    </w:p>
    <w:p w14:paraId="715DB328" w14:textId="77777777" w:rsidR="00E30C5A" w:rsidRPr="00E30C5A" w:rsidRDefault="00E30C5A" w:rsidP="00E30C5A">
      <w:pPr>
        <w:numPr>
          <w:ilvl w:val="0"/>
          <w:numId w:val="7"/>
        </w:numPr>
      </w:pPr>
      <w:r w:rsidRPr="00E30C5A">
        <w:rPr>
          <w:b/>
          <w:bCs/>
        </w:rPr>
        <w:t>Fields:</w:t>
      </w:r>
      <w:r w:rsidRPr="00E30C5A">
        <w:t xml:space="preserve"> Year-Month, SUM(Volume)</w:t>
      </w:r>
    </w:p>
    <w:p w14:paraId="32AEE870" w14:textId="77777777" w:rsidR="00E30C5A" w:rsidRPr="00E30C5A" w:rsidRDefault="00E30C5A" w:rsidP="00E30C5A">
      <w:pPr>
        <w:numPr>
          <w:ilvl w:val="0"/>
          <w:numId w:val="7"/>
        </w:numPr>
      </w:pPr>
      <w:r w:rsidRPr="00E30C5A">
        <w:rPr>
          <w:b/>
          <w:bCs/>
        </w:rPr>
        <w:t>Purpose:</w:t>
      </w:r>
      <w:r w:rsidRPr="00E30C5A">
        <w:t xml:space="preserve"> Track trading activity and volume spikes which may align with major events.</w:t>
      </w:r>
    </w:p>
    <w:p w14:paraId="7B17E188" w14:textId="77777777" w:rsidR="00E30C5A" w:rsidRPr="00E30C5A" w:rsidRDefault="00E30C5A" w:rsidP="00E30C5A">
      <w:r w:rsidRPr="00E30C5A">
        <w:rPr>
          <w:b/>
          <w:bCs/>
        </w:rPr>
        <w:t>5. Monthly Average Volatility</w:t>
      </w:r>
    </w:p>
    <w:p w14:paraId="5E341E3B" w14:textId="77777777" w:rsidR="00E30C5A" w:rsidRPr="00E30C5A" w:rsidRDefault="00E30C5A" w:rsidP="00E30C5A">
      <w:pPr>
        <w:numPr>
          <w:ilvl w:val="0"/>
          <w:numId w:val="8"/>
        </w:numPr>
      </w:pPr>
      <w:r w:rsidRPr="00E30C5A">
        <w:rPr>
          <w:b/>
          <w:bCs/>
        </w:rPr>
        <w:t>Chart Type:</w:t>
      </w:r>
      <w:r w:rsidRPr="00E30C5A">
        <w:t xml:space="preserve"> Line Chart</w:t>
      </w:r>
    </w:p>
    <w:p w14:paraId="1078B925" w14:textId="77777777" w:rsidR="00E30C5A" w:rsidRPr="00E30C5A" w:rsidRDefault="00E30C5A" w:rsidP="00E30C5A">
      <w:pPr>
        <w:numPr>
          <w:ilvl w:val="0"/>
          <w:numId w:val="8"/>
        </w:numPr>
      </w:pPr>
      <w:r w:rsidRPr="00E30C5A">
        <w:rPr>
          <w:b/>
          <w:bCs/>
        </w:rPr>
        <w:t>Fields:</w:t>
      </w:r>
      <w:r w:rsidRPr="00E30C5A">
        <w:t xml:space="preserve"> Year-Month, AVG(Volatility)</w:t>
      </w:r>
    </w:p>
    <w:p w14:paraId="02636FA6" w14:textId="77777777" w:rsidR="00E30C5A" w:rsidRPr="00E30C5A" w:rsidRDefault="00E30C5A" w:rsidP="00E30C5A">
      <w:pPr>
        <w:numPr>
          <w:ilvl w:val="0"/>
          <w:numId w:val="8"/>
        </w:numPr>
      </w:pPr>
      <w:r w:rsidRPr="00E30C5A">
        <w:rPr>
          <w:b/>
          <w:bCs/>
        </w:rPr>
        <w:t>Purpose:</w:t>
      </w:r>
      <w:r w:rsidRPr="00E30C5A">
        <w:t xml:space="preserve"> Examine consistency and changes in daily price swings, </w:t>
      </w:r>
      <w:proofErr w:type="spellStart"/>
      <w:r w:rsidRPr="00E30C5A">
        <w:t>signaling</w:t>
      </w:r>
      <w:proofErr w:type="spellEnd"/>
      <w:r w:rsidRPr="00E30C5A">
        <w:t xml:space="preserve"> market uncertainty.</w:t>
      </w:r>
    </w:p>
    <w:p w14:paraId="3BBEF76A" w14:textId="77777777" w:rsidR="00E30C5A" w:rsidRPr="00E30C5A" w:rsidRDefault="00E30C5A" w:rsidP="00E30C5A">
      <w:r w:rsidRPr="00E30C5A">
        <w:rPr>
          <w:b/>
          <w:bCs/>
        </w:rPr>
        <w:t>6. Filter Options</w:t>
      </w:r>
    </w:p>
    <w:p w14:paraId="28267B9F" w14:textId="77777777" w:rsidR="00E30C5A" w:rsidRPr="00E30C5A" w:rsidRDefault="00E30C5A" w:rsidP="00E30C5A">
      <w:pPr>
        <w:numPr>
          <w:ilvl w:val="0"/>
          <w:numId w:val="9"/>
        </w:numPr>
      </w:pPr>
      <w:r w:rsidRPr="00E30C5A">
        <w:rPr>
          <w:b/>
          <w:bCs/>
        </w:rPr>
        <w:t>Controls:</w:t>
      </w:r>
      <w:r w:rsidRPr="00E30C5A">
        <w:t xml:space="preserve"> Year selector, Month selector</w:t>
      </w:r>
    </w:p>
    <w:p w14:paraId="676152A2" w14:textId="77777777" w:rsidR="00E30C5A" w:rsidRPr="00E30C5A" w:rsidRDefault="00E30C5A" w:rsidP="00E30C5A">
      <w:pPr>
        <w:numPr>
          <w:ilvl w:val="0"/>
          <w:numId w:val="9"/>
        </w:numPr>
      </w:pPr>
      <w:r w:rsidRPr="00E30C5A">
        <w:rPr>
          <w:b/>
          <w:bCs/>
        </w:rPr>
        <w:t>Purpose:</w:t>
      </w:r>
      <w:r w:rsidRPr="00E30C5A">
        <w:t xml:space="preserve"> Enable interactive filtering across charts for user-driven analysis</w:t>
      </w:r>
    </w:p>
    <w:p w14:paraId="1BAC02D2" w14:textId="77777777" w:rsidR="00E30C5A" w:rsidRPr="00E30C5A" w:rsidRDefault="00E30C5A" w:rsidP="00E30C5A">
      <w:r w:rsidRPr="00E30C5A">
        <w:pict w14:anchorId="4205823F">
          <v:rect id="_x0000_i1078" style="width:0;height:1.5pt" o:hralign="center" o:hrstd="t" o:hr="t" fillcolor="#a0a0a0" stroked="f"/>
        </w:pict>
      </w:r>
    </w:p>
    <w:p w14:paraId="30F4F055" w14:textId="77777777" w:rsidR="00E30C5A" w:rsidRPr="00E30C5A" w:rsidRDefault="00E30C5A" w:rsidP="00E30C5A">
      <w:r w:rsidRPr="00E30C5A">
        <w:rPr>
          <w:b/>
          <w:bCs/>
        </w:rPr>
        <w:t>Findings:</w:t>
      </w:r>
    </w:p>
    <w:p w14:paraId="3FB4AFA4" w14:textId="77777777" w:rsidR="00E30C5A" w:rsidRPr="00E30C5A" w:rsidRDefault="00E30C5A" w:rsidP="00E30C5A">
      <w:pPr>
        <w:numPr>
          <w:ilvl w:val="0"/>
          <w:numId w:val="10"/>
        </w:numPr>
      </w:pPr>
      <w:r w:rsidRPr="00E30C5A">
        <w:t>GOOGL's long-term growth trend is evident with peaks in 2021 and 2024, despite temporary corrections.</w:t>
      </w:r>
    </w:p>
    <w:p w14:paraId="11C2FA5A" w14:textId="77777777" w:rsidR="00E30C5A" w:rsidRPr="00E30C5A" w:rsidRDefault="00E30C5A" w:rsidP="00E30C5A">
      <w:pPr>
        <w:numPr>
          <w:ilvl w:val="0"/>
          <w:numId w:val="10"/>
        </w:numPr>
      </w:pPr>
      <w:r w:rsidRPr="00E30C5A">
        <w:t>The 30-Day Moving Average aligns well with macro events, confirming the smoothing of sharp volatility.</w:t>
      </w:r>
    </w:p>
    <w:p w14:paraId="000B0506" w14:textId="77777777" w:rsidR="00E30C5A" w:rsidRPr="00E30C5A" w:rsidRDefault="00E30C5A" w:rsidP="00E30C5A">
      <w:pPr>
        <w:numPr>
          <w:ilvl w:val="0"/>
          <w:numId w:val="10"/>
        </w:numPr>
      </w:pPr>
      <w:r w:rsidRPr="00E30C5A">
        <w:t>Daily returns are centered around 0% but display a fat-tail distribution, suggesting rare but significant outliers.</w:t>
      </w:r>
    </w:p>
    <w:p w14:paraId="41CC5EBE" w14:textId="77777777" w:rsidR="00E30C5A" w:rsidRPr="00E30C5A" w:rsidRDefault="00E30C5A" w:rsidP="00E30C5A">
      <w:pPr>
        <w:numPr>
          <w:ilvl w:val="0"/>
          <w:numId w:val="10"/>
        </w:numPr>
      </w:pPr>
      <w:r w:rsidRPr="00E30C5A">
        <w:t>Monthly volumes surged during high-volatility periods and aligned with major announcements, indicating strong investor reaction.</w:t>
      </w:r>
    </w:p>
    <w:p w14:paraId="585B7544" w14:textId="77777777" w:rsidR="00E30C5A" w:rsidRPr="00E30C5A" w:rsidRDefault="00E30C5A" w:rsidP="00E30C5A">
      <w:pPr>
        <w:numPr>
          <w:ilvl w:val="0"/>
          <w:numId w:val="10"/>
        </w:numPr>
      </w:pPr>
      <w:r w:rsidRPr="00E30C5A">
        <w:lastRenderedPageBreak/>
        <w:t>Volatility peaked sharply in early 2020, likely tied to COVID-19 uncertainty, and again post-2023 during tech sector upheavals.</w:t>
      </w:r>
    </w:p>
    <w:p w14:paraId="47AE9BCD" w14:textId="77777777" w:rsidR="00E30C5A" w:rsidRPr="00E30C5A" w:rsidRDefault="00E30C5A" w:rsidP="00E30C5A">
      <w:r w:rsidRPr="00E30C5A">
        <w:pict w14:anchorId="6862786F">
          <v:rect id="_x0000_i1079" style="width:0;height:1.5pt" o:hralign="center" o:hrstd="t" o:hr="t" fillcolor="#a0a0a0" stroked="f"/>
        </w:pict>
      </w:r>
    </w:p>
    <w:p w14:paraId="109BE91C" w14:textId="77777777" w:rsidR="00E30C5A" w:rsidRPr="00E30C5A" w:rsidRDefault="00E30C5A" w:rsidP="00E30C5A">
      <w:r w:rsidRPr="00E30C5A">
        <w:rPr>
          <w:b/>
          <w:bCs/>
        </w:rPr>
        <w:t>Recommendations:</w:t>
      </w:r>
    </w:p>
    <w:p w14:paraId="484A7E49" w14:textId="77777777" w:rsidR="00E30C5A" w:rsidRPr="00E30C5A" w:rsidRDefault="00E30C5A" w:rsidP="00E30C5A">
      <w:pPr>
        <w:numPr>
          <w:ilvl w:val="0"/>
          <w:numId w:val="11"/>
        </w:numPr>
      </w:pPr>
      <w:r w:rsidRPr="00E30C5A">
        <w:t>Investors should monitor average volatility and volume together to anticipate potential price movements.</w:t>
      </w:r>
    </w:p>
    <w:p w14:paraId="6CDB8950" w14:textId="77777777" w:rsidR="00E30C5A" w:rsidRPr="00E30C5A" w:rsidRDefault="00E30C5A" w:rsidP="00E30C5A">
      <w:pPr>
        <w:numPr>
          <w:ilvl w:val="0"/>
          <w:numId w:val="11"/>
        </w:numPr>
      </w:pPr>
      <w:r w:rsidRPr="00E30C5A">
        <w:t>Strategic entry points can be optimized using historical return bands and trendline intersections with the moving average.</w:t>
      </w:r>
    </w:p>
    <w:p w14:paraId="3D2FB740" w14:textId="77777777" w:rsidR="00E30C5A" w:rsidRPr="00E30C5A" w:rsidRDefault="00E30C5A" w:rsidP="00E30C5A">
      <w:pPr>
        <w:numPr>
          <w:ilvl w:val="0"/>
          <w:numId w:val="11"/>
        </w:numPr>
      </w:pPr>
      <w:r w:rsidRPr="00E30C5A">
        <w:t>Analysts should account for seasonality and earnings cycles, as volume and volatility spikes cluster around these periods.</w:t>
      </w:r>
    </w:p>
    <w:p w14:paraId="6A95EF62" w14:textId="77777777" w:rsidR="00E30C5A" w:rsidRPr="00E30C5A" w:rsidRDefault="00E30C5A" w:rsidP="00E30C5A">
      <w:r w:rsidRPr="00E30C5A">
        <w:pict w14:anchorId="24B33A74">
          <v:rect id="_x0000_i1080" style="width:0;height:1.5pt" o:hralign="center" o:hrstd="t" o:hr="t" fillcolor="#a0a0a0" stroked="f"/>
        </w:pict>
      </w:r>
    </w:p>
    <w:p w14:paraId="150D7A57" w14:textId="77777777" w:rsidR="00E30C5A" w:rsidRPr="00E30C5A" w:rsidRDefault="00E30C5A" w:rsidP="00E30C5A">
      <w:r w:rsidRPr="00E30C5A">
        <w:rPr>
          <w:b/>
          <w:bCs/>
        </w:rPr>
        <w:t>Conclusion:</w:t>
      </w:r>
      <w:r w:rsidRPr="00E30C5A">
        <w:t xml:space="preserve"> This dashboard provides a cohesive analytical view of Alphabet Inc.'s Class A stock behavior. By combining price movement, volatility, volume, and returns, we enable a well-rounded performance evaluation. This can serve investors, analysts, and learners interested in time-series stock dynamics and Tableau data storytelling.</w:t>
      </w:r>
    </w:p>
    <w:p w14:paraId="411B191F" w14:textId="25C5B564" w:rsidR="00E30C5A" w:rsidRPr="00E30C5A" w:rsidRDefault="00E30C5A" w:rsidP="00E30C5A">
      <w:r w:rsidRPr="00E30C5A">
        <w:rPr>
          <w:b/>
          <w:bCs/>
        </w:rPr>
        <w:t>Link to Dashboard:</w:t>
      </w:r>
      <w:r w:rsidRPr="00E30C5A">
        <w:t xml:space="preserve"> </w:t>
      </w:r>
    </w:p>
    <w:p w14:paraId="0497874D" w14:textId="77777777" w:rsidR="004A0783" w:rsidRDefault="004A0783"/>
    <w:sectPr w:rsidR="004A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246F"/>
    <w:multiLevelType w:val="multilevel"/>
    <w:tmpl w:val="D3E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1F0D"/>
    <w:multiLevelType w:val="multilevel"/>
    <w:tmpl w:val="C04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1C07"/>
    <w:multiLevelType w:val="multilevel"/>
    <w:tmpl w:val="00A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F466E"/>
    <w:multiLevelType w:val="multilevel"/>
    <w:tmpl w:val="3F6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05116"/>
    <w:multiLevelType w:val="multilevel"/>
    <w:tmpl w:val="F7E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F7B13"/>
    <w:multiLevelType w:val="multilevel"/>
    <w:tmpl w:val="9CD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4642B"/>
    <w:multiLevelType w:val="multilevel"/>
    <w:tmpl w:val="117C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76F3"/>
    <w:multiLevelType w:val="multilevel"/>
    <w:tmpl w:val="5140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17F73"/>
    <w:multiLevelType w:val="multilevel"/>
    <w:tmpl w:val="675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856C7"/>
    <w:multiLevelType w:val="multilevel"/>
    <w:tmpl w:val="CE1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D3FF3"/>
    <w:multiLevelType w:val="multilevel"/>
    <w:tmpl w:val="2AE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302672">
    <w:abstractNumId w:val="6"/>
  </w:num>
  <w:num w:numId="2" w16cid:durableId="564683573">
    <w:abstractNumId w:val="0"/>
  </w:num>
  <w:num w:numId="3" w16cid:durableId="1800496090">
    <w:abstractNumId w:val="3"/>
  </w:num>
  <w:num w:numId="4" w16cid:durableId="2021078391">
    <w:abstractNumId w:val="8"/>
  </w:num>
  <w:num w:numId="5" w16cid:durableId="80762057">
    <w:abstractNumId w:val="5"/>
  </w:num>
  <w:num w:numId="6" w16cid:durableId="952243918">
    <w:abstractNumId w:val="10"/>
  </w:num>
  <w:num w:numId="7" w16cid:durableId="213808154">
    <w:abstractNumId w:val="2"/>
  </w:num>
  <w:num w:numId="8" w16cid:durableId="1037923809">
    <w:abstractNumId w:val="9"/>
  </w:num>
  <w:num w:numId="9" w16cid:durableId="7023693">
    <w:abstractNumId w:val="1"/>
  </w:num>
  <w:num w:numId="10" w16cid:durableId="1342854670">
    <w:abstractNumId w:val="7"/>
  </w:num>
  <w:num w:numId="11" w16cid:durableId="349651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5A"/>
    <w:rsid w:val="00420132"/>
    <w:rsid w:val="004A0783"/>
    <w:rsid w:val="004E4441"/>
    <w:rsid w:val="00E30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ACD9"/>
  <w15:chartTrackingRefBased/>
  <w15:docId w15:val="{A18A812F-113C-488A-B909-651E4496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C5A"/>
    <w:rPr>
      <w:rFonts w:eastAsiaTheme="majorEastAsia" w:cstheme="majorBidi"/>
      <w:color w:val="272727" w:themeColor="text1" w:themeTint="D8"/>
    </w:rPr>
  </w:style>
  <w:style w:type="paragraph" w:styleId="Title">
    <w:name w:val="Title"/>
    <w:basedOn w:val="Normal"/>
    <w:next w:val="Normal"/>
    <w:link w:val="TitleChar"/>
    <w:uiPriority w:val="10"/>
    <w:qFormat/>
    <w:rsid w:val="00E30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C5A"/>
    <w:pPr>
      <w:spacing w:before="160"/>
      <w:jc w:val="center"/>
    </w:pPr>
    <w:rPr>
      <w:i/>
      <w:iCs/>
      <w:color w:val="404040" w:themeColor="text1" w:themeTint="BF"/>
    </w:rPr>
  </w:style>
  <w:style w:type="character" w:customStyle="1" w:styleId="QuoteChar">
    <w:name w:val="Quote Char"/>
    <w:basedOn w:val="DefaultParagraphFont"/>
    <w:link w:val="Quote"/>
    <w:uiPriority w:val="29"/>
    <w:rsid w:val="00E30C5A"/>
    <w:rPr>
      <w:i/>
      <w:iCs/>
      <w:color w:val="404040" w:themeColor="text1" w:themeTint="BF"/>
    </w:rPr>
  </w:style>
  <w:style w:type="paragraph" w:styleId="ListParagraph">
    <w:name w:val="List Paragraph"/>
    <w:basedOn w:val="Normal"/>
    <w:uiPriority w:val="34"/>
    <w:qFormat/>
    <w:rsid w:val="00E30C5A"/>
    <w:pPr>
      <w:ind w:left="720"/>
      <w:contextualSpacing/>
    </w:pPr>
  </w:style>
  <w:style w:type="character" w:styleId="IntenseEmphasis">
    <w:name w:val="Intense Emphasis"/>
    <w:basedOn w:val="DefaultParagraphFont"/>
    <w:uiPriority w:val="21"/>
    <w:qFormat/>
    <w:rsid w:val="00E30C5A"/>
    <w:rPr>
      <w:i/>
      <w:iCs/>
      <w:color w:val="0F4761" w:themeColor="accent1" w:themeShade="BF"/>
    </w:rPr>
  </w:style>
  <w:style w:type="paragraph" w:styleId="IntenseQuote">
    <w:name w:val="Intense Quote"/>
    <w:basedOn w:val="Normal"/>
    <w:next w:val="Normal"/>
    <w:link w:val="IntenseQuoteChar"/>
    <w:uiPriority w:val="30"/>
    <w:qFormat/>
    <w:rsid w:val="00E30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C5A"/>
    <w:rPr>
      <w:i/>
      <w:iCs/>
      <w:color w:val="0F4761" w:themeColor="accent1" w:themeShade="BF"/>
    </w:rPr>
  </w:style>
  <w:style w:type="character" w:styleId="IntenseReference">
    <w:name w:val="Intense Reference"/>
    <w:basedOn w:val="DefaultParagraphFont"/>
    <w:uiPriority w:val="32"/>
    <w:qFormat/>
    <w:rsid w:val="00E30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731691">
      <w:bodyDiv w:val="1"/>
      <w:marLeft w:val="0"/>
      <w:marRight w:val="0"/>
      <w:marTop w:val="0"/>
      <w:marBottom w:val="0"/>
      <w:divBdr>
        <w:top w:val="none" w:sz="0" w:space="0" w:color="auto"/>
        <w:left w:val="none" w:sz="0" w:space="0" w:color="auto"/>
        <w:bottom w:val="none" w:sz="0" w:space="0" w:color="auto"/>
        <w:right w:val="none" w:sz="0" w:space="0" w:color="auto"/>
      </w:divBdr>
      <w:divsChild>
        <w:div w:id="830801060">
          <w:marLeft w:val="0"/>
          <w:marRight w:val="0"/>
          <w:marTop w:val="0"/>
          <w:marBottom w:val="0"/>
          <w:divBdr>
            <w:top w:val="none" w:sz="0" w:space="0" w:color="auto"/>
            <w:left w:val="none" w:sz="0" w:space="0" w:color="auto"/>
            <w:bottom w:val="none" w:sz="0" w:space="0" w:color="auto"/>
            <w:right w:val="none" w:sz="0" w:space="0" w:color="auto"/>
          </w:divBdr>
        </w:div>
        <w:div w:id="368069856">
          <w:marLeft w:val="0"/>
          <w:marRight w:val="0"/>
          <w:marTop w:val="0"/>
          <w:marBottom w:val="0"/>
          <w:divBdr>
            <w:top w:val="none" w:sz="0" w:space="0" w:color="auto"/>
            <w:left w:val="none" w:sz="0" w:space="0" w:color="auto"/>
            <w:bottom w:val="none" w:sz="0" w:space="0" w:color="auto"/>
            <w:right w:val="none" w:sz="0" w:space="0" w:color="auto"/>
          </w:divBdr>
        </w:div>
        <w:div w:id="1160805768">
          <w:marLeft w:val="0"/>
          <w:marRight w:val="0"/>
          <w:marTop w:val="0"/>
          <w:marBottom w:val="0"/>
          <w:divBdr>
            <w:top w:val="none" w:sz="0" w:space="0" w:color="auto"/>
            <w:left w:val="none" w:sz="0" w:space="0" w:color="auto"/>
            <w:bottom w:val="none" w:sz="0" w:space="0" w:color="auto"/>
            <w:right w:val="none" w:sz="0" w:space="0" w:color="auto"/>
          </w:divBdr>
        </w:div>
        <w:div w:id="946232484">
          <w:marLeft w:val="0"/>
          <w:marRight w:val="0"/>
          <w:marTop w:val="0"/>
          <w:marBottom w:val="0"/>
          <w:divBdr>
            <w:top w:val="none" w:sz="0" w:space="0" w:color="auto"/>
            <w:left w:val="none" w:sz="0" w:space="0" w:color="auto"/>
            <w:bottom w:val="none" w:sz="0" w:space="0" w:color="auto"/>
            <w:right w:val="none" w:sz="0" w:space="0" w:color="auto"/>
          </w:divBdr>
        </w:div>
        <w:div w:id="1875728552">
          <w:marLeft w:val="0"/>
          <w:marRight w:val="0"/>
          <w:marTop w:val="0"/>
          <w:marBottom w:val="0"/>
          <w:divBdr>
            <w:top w:val="none" w:sz="0" w:space="0" w:color="auto"/>
            <w:left w:val="none" w:sz="0" w:space="0" w:color="auto"/>
            <w:bottom w:val="none" w:sz="0" w:space="0" w:color="auto"/>
            <w:right w:val="none" w:sz="0" w:space="0" w:color="auto"/>
          </w:divBdr>
        </w:div>
        <w:div w:id="976496318">
          <w:marLeft w:val="0"/>
          <w:marRight w:val="0"/>
          <w:marTop w:val="0"/>
          <w:marBottom w:val="0"/>
          <w:divBdr>
            <w:top w:val="none" w:sz="0" w:space="0" w:color="auto"/>
            <w:left w:val="none" w:sz="0" w:space="0" w:color="auto"/>
            <w:bottom w:val="none" w:sz="0" w:space="0" w:color="auto"/>
            <w:right w:val="none" w:sz="0" w:space="0" w:color="auto"/>
          </w:divBdr>
        </w:div>
        <w:div w:id="599069845">
          <w:marLeft w:val="0"/>
          <w:marRight w:val="0"/>
          <w:marTop w:val="0"/>
          <w:marBottom w:val="0"/>
          <w:divBdr>
            <w:top w:val="none" w:sz="0" w:space="0" w:color="auto"/>
            <w:left w:val="none" w:sz="0" w:space="0" w:color="auto"/>
            <w:bottom w:val="none" w:sz="0" w:space="0" w:color="auto"/>
            <w:right w:val="none" w:sz="0" w:space="0" w:color="auto"/>
          </w:divBdr>
        </w:div>
        <w:div w:id="336347471">
          <w:marLeft w:val="0"/>
          <w:marRight w:val="0"/>
          <w:marTop w:val="0"/>
          <w:marBottom w:val="0"/>
          <w:divBdr>
            <w:top w:val="none" w:sz="0" w:space="0" w:color="auto"/>
            <w:left w:val="none" w:sz="0" w:space="0" w:color="auto"/>
            <w:bottom w:val="none" w:sz="0" w:space="0" w:color="auto"/>
            <w:right w:val="none" w:sz="0" w:space="0" w:color="auto"/>
          </w:divBdr>
        </w:div>
      </w:divsChild>
    </w:div>
    <w:div w:id="2010598519">
      <w:bodyDiv w:val="1"/>
      <w:marLeft w:val="0"/>
      <w:marRight w:val="0"/>
      <w:marTop w:val="0"/>
      <w:marBottom w:val="0"/>
      <w:divBdr>
        <w:top w:val="none" w:sz="0" w:space="0" w:color="auto"/>
        <w:left w:val="none" w:sz="0" w:space="0" w:color="auto"/>
        <w:bottom w:val="none" w:sz="0" w:space="0" w:color="auto"/>
        <w:right w:val="none" w:sz="0" w:space="0" w:color="auto"/>
      </w:divBdr>
      <w:divsChild>
        <w:div w:id="68968310">
          <w:marLeft w:val="0"/>
          <w:marRight w:val="0"/>
          <w:marTop w:val="0"/>
          <w:marBottom w:val="0"/>
          <w:divBdr>
            <w:top w:val="none" w:sz="0" w:space="0" w:color="auto"/>
            <w:left w:val="none" w:sz="0" w:space="0" w:color="auto"/>
            <w:bottom w:val="none" w:sz="0" w:space="0" w:color="auto"/>
            <w:right w:val="none" w:sz="0" w:space="0" w:color="auto"/>
          </w:divBdr>
        </w:div>
        <w:div w:id="1350790918">
          <w:marLeft w:val="0"/>
          <w:marRight w:val="0"/>
          <w:marTop w:val="0"/>
          <w:marBottom w:val="0"/>
          <w:divBdr>
            <w:top w:val="none" w:sz="0" w:space="0" w:color="auto"/>
            <w:left w:val="none" w:sz="0" w:space="0" w:color="auto"/>
            <w:bottom w:val="none" w:sz="0" w:space="0" w:color="auto"/>
            <w:right w:val="none" w:sz="0" w:space="0" w:color="auto"/>
          </w:divBdr>
        </w:div>
        <w:div w:id="1419130652">
          <w:marLeft w:val="0"/>
          <w:marRight w:val="0"/>
          <w:marTop w:val="0"/>
          <w:marBottom w:val="0"/>
          <w:divBdr>
            <w:top w:val="none" w:sz="0" w:space="0" w:color="auto"/>
            <w:left w:val="none" w:sz="0" w:space="0" w:color="auto"/>
            <w:bottom w:val="none" w:sz="0" w:space="0" w:color="auto"/>
            <w:right w:val="none" w:sz="0" w:space="0" w:color="auto"/>
          </w:divBdr>
        </w:div>
        <w:div w:id="510949367">
          <w:marLeft w:val="0"/>
          <w:marRight w:val="0"/>
          <w:marTop w:val="0"/>
          <w:marBottom w:val="0"/>
          <w:divBdr>
            <w:top w:val="none" w:sz="0" w:space="0" w:color="auto"/>
            <w:left w:val="none" w:sz="0" w:space="0" w:color="auto"/>
            <w:bottom w:val="none" w:sz="0" w:space="0" w:color="auto"/>
            <w:right w:val="none" w:sz="0" w:space="0" w:color="auto"/>
          </w:divBdr>
        </w:div>
        <w:div w:id="1180435715">
          <w:marLeft w:val="0"/>
          <w:marRight w:val="0"/>
          <w:marTop w:val="0"/>
          <w:marBottom w:val="0"/>
          <w:divBdr>
            <w:top w:val="none" w:sz="0" w:space="0" w:color="auto"/>
            <w:left w:val="none" w:sz="0" w:space="0" w:color="auto"/>
            <w:bottom w:val="none" w:sz="0" w:space="0" w:color="auto"/>
            <w:right w:val="none" w:sz="0" w:space="0" w:color="auto"/>
          </w:divBdr>
        </w:div>
        <w:div w:id="907181435">
          <w:marLeft w:val="0"/>
          <w:marRight w:val="0"/>
          <w:marTop w:val="0"/>
          <w:marBottom w:val="0"/>
          <w:divBdr>
            <w:top w:val="none" w:sz="0" w:space="0" w:color="auto"/>
            <w:left w:val="none" w:sz="0" w:space="0" w:color="auto"/>
            <w:bottom w:val="none" w:sz="0" w:space="0" w:color="auto"/>
            <w:right w:val="none" w:sz="0" w:space="0" w:color="auto"/>
          </w:divBdr>
        </w:div>
        <w:div w:id="1074626007">
          <w:marLeft w:val="0"/>
          <w:marRight w:val="0"/>
          <w:marTop w:val="0"/>
          <w:marBottom w:val="0"/>
          <w:divBdr>
            <w:top w:val="none" w:sz="0" w:space="0" w:color="auto"/>
            <w:left w:val="none" w:sz="0" w:space="0" w:color="auto"/>
            <w:bottom w:val="none" w:sz="0" w:space="0" w:color="auto"/>
            <w:right w:val="none" w:sz="0" w:space="0" w:color="auto"/>
          </w:divBdr>
        </w:div>
        <w:div w:id="2115124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Khilare</dc:creator>
  <cp:keywords/>
  <dc:description/>
  <cp:lastModifiedBy>Rohit Khilare</cp:lastModifiedBy>
  <cp:revision>1</cp:revision>
  <dcterms:created xsi:type="dcterms:W3CDTF">2025-07-17T20:56:00Z</dcterms:created>
  <dcterms:modified xsi:type="dcterms:W3CDTF">2025-07-17T20:58:00Z</dcterms:modified>
</cp:coreProperties>
</file>