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 Operating Procedure</w:t>
      </w:r>
    </w:p>
    <w:p>
      <w:pPr>
        <w:jc w:val="center"/>
      </w:pPr>
      <w:r>
        <w:rPr>
          <w:b/>
          <w:sz w:val="26"/>
        </w:rPr>
        <w:t>Interest Rate Change Process – Lending Products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SOP-BANK-RC-007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01-June-2026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01-June-2027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Chief Lending Officer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Retail &amp; Commercial Lending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As triggered by Fed rate changes or internal pricing review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Indirect Auto | Direct Auto | Business Banking</w:t>
            </w:r>
          </w:p>
        </w:tc>
      </w:tr>
    </w:tbl>
    <w:p/>
    <w:p>
      <w:pPr>
        <w:pStyle w:val="Heading2"/>
      </w:pPr>
      <w:r>
        <w:t>1. Purpose</w:t>
      </w:r>
    </w:p>
    <w:p>
      <w:r>
        <w:t>This SOP defines the end-to-end process for reviewing, approving, communicating, and implementing interest rate changes across three lending product categories: Indirect Auto, Direct Auto, and Business Banking. It ensures changes are controlled, compliant, auditable, and communicated to all relevant stakeholders within required timeframes.</w:t>
      </w:r>
    </w:p>
    <w:p>
      <w:pPr>
        <w:pStyle w:val="Heading2"/>
      </w:pPr>
      <w:r>
        <w:t>2. Scope</w:t>
      </w:r>
    </w:p>
    <w:p>
      <w:r>
        <w:t>This procedure applies whenever a rate change is initiated due to:</w:t>
      </w:r>
    </w:p>
    <w:p>
      <w:pPr>
        <w:pStyle w:val="ListBullet"/>
      </w:pPr>
      <w:r>
        <w:t>Federal Reserve benchmark rate adjustments (Fed Funds Rate / Prime Rate)</w:t>
      </w:r>
    </w:p>
    <w:p>
      <w:pPr>
        <w:pStyle w:val="ListBullet"/>
      </w:pPr>
      <w:r>
        <w:t>Internal pricing strategy decisions approved by the ALCO committee</w:t>
      </w:r>
    </w:p>
    <w:p>
      <w:pPr>
        <w:pStyle w:val="ListBullet"/>
      </w:pPr>
      <w:r>
        <w:t>Competitive market rate realignment</w:t>
      </w:r>
    </w:p>
    <w:p>
      <w:pPr>
        <w:pStyle w:val="ListBullet"/>
      </w:pPr>
      <w:r>
        <w:t>Regulatory or compliance-driven repricing requirements</w:t>
      </w:r>
    </w:p>
    <w:p>
      <w:pPr>
        <w:pStyle w:val="ListBullet"/>
      </w:pPr>
      <w:r>
        <w:t>Product-specific performance review outcomes</w:t>
      </w:r>
    </w:p>
    <w:p>
      <w:r>
        <w:t>Product categories in scope:</w:t>
      </w:r>
    </w:p>
    <w:p>
      <w:pPr>
        <w:pStyle w:val="ListBullet"/>
      </w:pPr>
      <w:r>
        <w:t>Indirect Auto Lending – Dealer-originated vehicle loans</w:t>
      </w:r>
    </w:p>
    <w:p>
      <w:pPr>
        <w:pStyle w:val="ListBullet"/>
      </w:pPr>
      <w:r>
        <w:t>Direct Auto Lending – Branch and digital channel vehicle loans</w:t>
      </w:r>
    </w:p>
    <w:p>
      <w:pPr>
        <w:pStyle w:val="ListBullet"/>
      </w:pPr>
      <w:r>
        <w:t>Business Banking – Commercial loans, lines of credit, and term loans for small-to-mid businesses</w:t>
      </w:r>
    </w:p>
    <w:p>
      <w:pPr>
        <w:pStyle w:val="Heading2"/>
      </w:pPr>
      <w:r>
        <w:t>3.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/ Contact</w:t>
            </w:r>
          </w:p>
        </w:tc>
      </w:tr>
      <w:tr>
        <w:tc>
          <w:tcPr>
            <w:tcW w:type="dxa" w:w="2880"/>
          </w:tcPr>
          <w:p>
            <w:r>
              <w:t>Chief Lending Officer (CLO)</w:t>
            </w:r>
          </w:p>
        </w:tc>
        <w:tc>
          <w:tcPr>
            <w:tcW w:type="dxa" w:w="2880"/>
          </w:tcPr>
          <w:p>
            <w:r>
              <w:t>Final approval authority for all rate changes</w:t>
            </w:r>
          </w:p>
        </w:tc>
        <w:tc>
          <w:tcPr>
            <w:tcW w:type="dxa" w:w="2880"/>
          </w:tcPr>
          <w:p>
            <w:r>
              <w:t>Robert Harrington / r.harrington@bank.com</w:t>
            </w:r>
          </w:p>
        </w:tc>
      </w:tr>
      <w:tr>
        <w:tc>
          <w:tcPr>
            <w:tcW w:type="dxa" w:w="2880"/>
          </w:tcPr>
          <w:p>
            <w:r>
              <w:t>ALCO Committee</w:t>
            </w:r>
          </w:p>
        </w:tc>
        <w:tc>
          <w:tcPr>
            <w:tcW w:type="dxa" w:w="2880"/>
          </w:tcPr>
          <w:p>
            <w:r>
              <w:t>Reviews and recommends rate changes; meets bi-weekly</w:t>
            </w:r>
          </w:p>
        </w:tc>
        <w:tc>
          <w:tcPr>
            <w:tcW w:type="dxa" w:w="2880"/>
          </w:tcPr>
          <w:p>
            <w:r>
              <w:t>alco@bank.com</w:t>
            </w:r>
          </w:p>
        </w:tc>
      </w:tr>
      <w:tr>
        <w:tc>
          <w:tcPr>
            <w:tcW w:type="dxa" w:w="2880"/>
          </w:tcPr>
          <w:p>
            <w:r>
              <w:t>Pricing &amp; Analytics Team</w:t>
            </w:r>
          </w:p>
        </w:tc>
        <w:tc>
          <w:tcPr>
            <w:tcW w:type="dxa" w:w="2880"/>
          </w:tcPr>
          <w:p>
            <w:r>
              <w:t>Runs rate impact models; prepares rate change memo</w:t>
            </w:r>
          </w:p>
        </w:tc>
        <w:tc>
          <w:tcPr>
            <w:tcW w:type="dxa" w:w="2880"/>
          </w:tcPr>
          <w:p>
            <w:r>
              <w:t>pricing@bank.com</w:t>
            </w:r>
          </w:p>
        </w:tc>
      </w:tr>
      <w:tr>
        <w:tc>
          <w:tcPr>
            <w:tcW w:type="dxa" w:w="2880"/>
          </w:tcPr>
          <w:p>
            <w:r>
              <w:t>Indirect Auto – Product Manager</w:t>
            </w:r>
          </w:p>
        </w:tc>
        <w:tc>
          <w:tcPr>
            <w:tcW w:type="dxa" w:w="2880"/>
          </w:tcPr>
          <w:p>
            <w:r>
              <w:t>Manages dealer rate sheets; communicates to dealer network</w:t>
            </w:r>
          </w:p>
        </w:tc>
        <w:tc>
          <w:tcPr>
            <w:tcW w:type="dxa" w:w="2880"/>
          </w:tcPr>
          <w:p>
            <w:r>
              <w:t>Linda Cho / l.cho@bank.com</w:t>
            </w:r>
          </w:p>
        </w:tc>
      </w:tr>
      <w:tr>
        <w:tc>
          <w:tcPr>
            <w:tcW w:type="dxa" w:w="2880"/>
          </w:tcPr>
          <w:p>
            <w:r>
              <w:t>Direct Auto – Product Manager</w:t>
            </w:r>
          </w:p>
        </w:tc>
        <w:tc>
          <w:tcPr>
            <w:tcW w:type="dxa" w:w="2880"/>
          </w:tcPr>
          <w:p>
            <w:r>
              <w:t>Updates branch/digital rate boards; trains branch staff</w:t>
            </w:r>
          </w:p>
        </w:tc>
        <w:tc>
          <w:tcPr>
            <w:tcW w:type="dxa" w:w="2880"/>
          </w:tcPr>
          <w:p>
            <w:r>
              <w:t>Marcus Webb / m.webb@bank.com</w:t>
            </w:r>
          </w:p>
        </w:tc>
      </w:tr>
      <w:tr>
        <w:tc>
          <w:tcPr>
            <w:tcW w:type="dxa" w:w="2880"/>
          </w:tcPr>
          <w:p>
            <w:r>
              <w:t>Business Banking – Relationship Mgr</w:t>
            </w:r>
          </w:p>
        </w:tc>
        <w:tc>
          <w:tcPr>
            <w:tcW w:type="dxa" w:w="2880"/>
          </w:tcPr>
          <w:p>
            <w:r>
              <w:t>Notifies business clients; manages repricing agreements</w:t>
            </w:r>
          </w:p>
        </w:tc>
        <w:tc>
          <w:tcPr>
            <w:tcW w:type="dxa" w:w="2880"/>
          </w:tcPr>
          <w:p>
            <w:r>
              <w:t>Anita Patel / a.patel@bank.com</w:t>
            </w:r>
          </w:p>
        </w:tc>
      </w:tr>
      <w:tr>
        <w:tc>
          <w:tcPr>
            <w:tcW w:type="dxa" w:w="2880"/>
          </w:tcPr>
          <w:p>
            <w:r>
              <w:t>IT / Core Banking Team</w:t>
            </w:r>
          </w:p>
        </w:tc>
        <w:tc>
          <w:tcPr>
            <w:tcW w:type="dxa" w:w="2880"/>
          </w:tcPr>
          <w:p>
            <w:r>
              <w:t>Implements rate changes in core system (FiServ/Jack Henry)</w:t>
            </w:r>
          </w:p>
        </w:tc>
        <w:tc>
          <w:tcPr>
            <w:tcW w:type="dxa" w:w="2880"/>
          </w:tcPr>
          <w:p>
            <w:r>
              <w:t>corebanking@bank.com</w:t>
            </w:r>
          </w:p>
        </w:tc>
      </w:tr>
      <w:tr>
        <w:tc>
          <w:tcPr>
            <w:tcW w:type="dxa" w:w="2880"/>
          </w:tcPr>
          <w:p>
            <w:r>
              <w:t>Compliance &amp; Legal</w:t>
            </w:r>
          </w:p>
        </w:tc>
        <w:tc>
          <w:tcPr>
            <w:tcW w:type="dxa" w:w="2880"/>
          </w:tcPr>
          <w:p>
            <w:r>
              <w:t>Reviews change for regulatory compliance before go-live</w:t>
            </w:r>
          </w:p>
        </w:tc>
        <w:tc>
          <w:tcPr>
            <w:tcW w:type="dxa" w:w="2880"/>
          </w:tcPr>
          <w:p>
            <w:r>
              <w:t>compliance@bank.com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Reviews credit risk impact of proposed rate changes</w:t>
            </w:r>
          </w:p>
        </w:tc>
        <w:tc>
          <w:tcPr>
            <w:tcW w:type="dxa" w:w="2880"/>
          </w:tcPr>
          <w:p>
            <w:r>
              <w:t>risk@bank.com</w:t>
            </w:r>
          </w:p>
        </w:tc>
      </w:tr>
      <w:tr>
        <w:tc>
          <w:tcPr>
            <w:tcW w:type="dxa" w:w="2880"/>
          </w:tcPr>
          <w:p>
            <w:r>
              <w:t>Customer Communications Team</w:t>
            </w:r>
          </w:p>
        </w:tc>
        <w:tc>
          <w:tcPr>
            <w:tcW w:type="dxa" w:w="2880"/>
          </w:tcPr>
          <w:p>
            <w:r>
              <w:t>Drafts and sends customer notices (mail, email, in-app)</w:t>
            </w:r>
          </w:p>
        </w:tc>
        <w:tc>
          <w:tcPr>
            <w:tcW w:type="dxa" w:w="2880"/>
          </w:tcPr>
          <w:p>
            <w:r>
              <w:t>comms@bank.com</w:t>
            </w:r>
          </w:p>
        </w:tc>
      </w:tr>
    </w:tbl>
    <w:p/>
    <w:p>
      <w:pPr>
        <w:pStyle w:val="Heading2"/>
      </w:pPr>
      <w:r>
        <w:t>4. Rate Change Trigger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Initiates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Urgency</w:t>
            </w:r>
          </w:p>
        </w:tc>
      </w:tr>
      <w:tr>
        <w:tc>
          <w:tcPr>
            <w:tcW w:type="dxa" w:w="2160"/>
          </w:tcPr>
          <w:p>
            <w:r>
              <w:t>Fed Rate Change</w:t>
            </w:r>
          </w:p>
        </w:tc>
        <w:tc>
          <w:tcPr>
            <w:tcW w:type="dxa" w:w="2160"/>
          </w:tcPr>
          <w:p>
            <w:r>
              <w:t>FOMC raises Fed Funds Rate by 25bps</w:t>
            </w:r>
          </w:p>
        </w:tc>
        <w:tc>
          <w:tcPr>
            <w:tcW w:type="dxa" w:w="2160"/>
          </w:tcPr>
          <w:p>
            <w:r>
              <w:t>CLO / Pricing Team</w:t>
            </w:r>
          </w:p>
        </w:tc>
        <w:tc>
          <w:tcPr>
            <w:tcW w:type="dxa" w:w="2160"/>
          </w:tcPr>
          <w:p>
            <w:r>
              <w:t>High – act within 2 business days</w:t>
            </w:r>
          </w:p>
        </w:tc>
      </w:tr>
      <w:tr>
        <w:tc>
          <w:tcPr>
            <w:tcW w:type="dxa" w:w="2160"/>
          </w:tcPr>
          <w:p>
            <w:r>
              <w:t>Internal ALCO Decision</w:t>
            </w:r>
          </w:p>
        </w:tc>
        <w:tc>
          <w:tcPr>
            <w:tcW w:type="dxa" w:w="2160"/>
          </w:tcPr>
          <w:p>
            <w:r>
              <w:t>Board-approved margin compression review</w:t>
            </w:r>
          </w:p>
        </w:tc>
        <w:tc>
          <w:tcPr>
            <w:tcW w:type="dxa" w:w="2160"/>
          </w:tcPr>
          <w:p>
            <w:r>
              <w:t>ALCO Committee</w:t>
            </w:r>
          </w:p>
        </w:tc>
        <w:tc>
          <w:tcPr>
            <w:tcW w:type="dxa" w:w="2160"/>
          </w:tcPr>
          <w:p>
            <w:r>
              <w:t>Standard – 5 business days</w:t>
            </w:r>
          </w:p>
        </w:tc>
      </w:tr>
      <w:tr>
        <w:tc>
          <w:tcPr>
            <w:tcW w:type="dxa" w:w="2160"/>
          </w:tcPr>
          <w:p>
            <w:r>
              <w:t>Competitive Pressure</w:t>
            </w:r>
          </w:p>
        </w:tc>
        <w:tc>
          <w:tcPr>
            <w:tcW w:type="dxa" w:w="2160"/>
          </w:tcPr>
          <w:p>
            <w:r>
              <w:t>Competitor drops auto rates; volume declining</w:t>
            </w:r>
          </w:p>
        </w:tc>
        <w:tc>
          <w:tcPr>
            <w:tcW w:type="dxa" w:w="2160"/>
          </w:tcPr>
          <w:p>
            <w:r>
              <w:t>Product Managers</w:t>
            </w:r>
          </w:p>
        </w:tc>
        <w:tc>
          <w:tcPr>
            <w:tcW w:type="dxa" w:w="2160"/>
          </w:tcPr>
          <w:p>
            <w:r>
              <w:t>Standard – 5 business days</w:t>
            </w:r>
          </w:p>
        </w:tc>
      </w:tr>
      <w:tr>
        <w:tc>
          <w:tcPr>
            <w:tcW w:type="dxa" w:w="2160"/>
          </w:tcPr>
          <w:p>
            <w:r>
              <w:t>Regulatory Directive</w:t>
            </w:r>
          </w:p>
        </w:tc>
        <w:tc>
          <w:tcPr>
            <w:tcW w:type="dxa" w:w="2160"/>
          </w:tcPr>
          <w:p>
            <w:r>
              <w:t>Regulator mandates max rate cap on consumer loans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Urgent – act within 24 hours</w:t>
            </w:r>
          </w:p>
        </w:tc>
      </w:tr>
      <w:tr>
        <w:tc>
          <w:tcPr>
            <w:tcW w:type="dxa" w:w="2160"/>
          </w:tcPr>
          <w:p>
            <w:r>
              <w:t>Product Review</w:t>
            </w:r>
          </w:p>
        </w:tc>
        <w:tc>
          <w:tcPr>
            <w:tcW w:type="dxa" w:w="2160"/>
          </w:tcPr>
          <w:p>
            <w:r>
              <w:t>Quarterly review shows Business Banking ROE below target</w:t>
            </w:r>
          </w:p>
        </w:tc>
        <w:tc>
          <w:tcPr>
            <w:tcW w:type="dxa" w:w="2160"/>
          </w:tcPr>
          <w:p>
            <w:r>
              <w:t>Risk / CLO</w:t>
            </w:r>
          </w:p>
        </w:tc>
        <w:tc>
          <w:tcPr>
            <w:tcW w:type="dxa" w:w="2160"/>
          </w:tcPr>
          <w:p>
            <w:r>
              <w:t>Standard – 5 business days</w:t>
            </w:r>
          </w:p>
        </w:tc>
      </w:tr>
    </w:tbl>
    <w:p/>
    <w:p>
      <w:pPr>
        <w:pStyle w:val="Heading2"/>
      </w:pPr>
      <w:r>
        <w:t>5. Step-by-Step Rate Change Process</w:t>
      </w:r>
    </w:p>
    <w:p>
      <w:pPr>
        <w:pStyle w:val="Heading3"/>
      </w:pPr>
      <w:r>
        <w:t>Step 1 – Trigger Identification &amp; Rate Change Request</w:t>
      </w:r>
    </w:p>
    <w:p>
      <w:pPr>
        <w:pStyle w:val="ListNumber"/>
      </w:pPr>
      <w:r>
        <w:t>Identify the trigger (Fed announcement, ALCO meeting outcome, or product manager request).</w:t>
      </w:r>
    </w:p>
    <w:p>
      <w:pPr>
        <w:pStyle w:val="ListNumber"/>
      </w:pPr>
      <w:r>
        <w:t>Pricing &amp; Analytics Team prepares a Rate Change Memo within 1 business day of trigger.</w:t>
      </w:r>
    </w:p>
    <w:p>
      <w:pPr>
        <w:pStyle w:val="ListNumber"/>
      </w:pPr>
      <w:r>
        <w:t>Memo must include: proposed new rate(s), effective date, rationale, impacted products, estimated volume/revenue impact.</w:t>
      </w:r>
    </w:p>
    <w:p>
      <w:pPr>
        <w:pStyle w:val="ListNumber"/>
      </w:pPr>
      <w:r>
        <w:t>Submit the Rate Change Memo to CLO via the Rate Change Request form in the Lending Portal.</w:t>
      </w:r>
    </w:p>
    <w:p>
      <w:pPr>
        <w:pStyle w:val="ListNumber"/>
      </w:pPr>
      <w:r>
        <w:t>CLO acknowledges receipt and assigns a Rate Change ID (e.g., RC-2026-047).</w:t>
      </w:r>
    </w:p>
    <w:p>
      <w:pPr>
        <w:pStyle w:val="Heading3"/>
      </w:pPr>
      <w:r>
        <w:t>Step 2 – Impact Analysis &amp; Risk Review</w:t>
      </w:r>
    </w:p>
    <w:p>
      <w:pPr>
        <w:pStyle w:val="ListNumber"/>
      </w:pPr>
      <w:r>
        <w:t>Pricing Team runs financial model: net interest margin (NIM) impact, loan demand sensitivity, competitor rate comparison.</w:t>
      </w:r>
    </w:p>
    <w:p>
      <w:pPr>
        <w:pStyle w:val="ListNumber"/>
      </w:pPr>
      <w:r>
        <w:t>Risk Management reviews credit quality impact — does the new rate affect applicant creditworthiness thresholds?</w:t>
      </w:r>
    </w:p>
    <w:p>
      <w:pPr>
        <w:pStyle w:val="ListNumber"/>
      </w:pPr>
      <w:r>
        <w:t>Compliance reviews proposed rates against: ECOA, Reg Z, state usury limits, MLA caps (for eligible borrowers).</w:t>
      </w:r>
    </w:p>
    <w:p>
      <w:pPr>
        <w:pStyle w:val="ListNumber"/>
      </w:pPr>
      <w:r>
        <w:t>All three teams submit sign-off in the Lending Portal within 2 business days.</w:t>
      </w:r>
    </w:p>
    <w:p>
      <w:pPr>
        <w:pStyle w:val="ListNumber"/>
      </w:pPr>
      <w:r>
        <w:t>If any team flags a concern, a resolution meeting is scheduled within 1 business day.</w:t>
      </w:r>
    </w:p>
    <w:p>
      <w:pPr>
        <w:pStyle w:val="Heading3"/>
      </w:pPr>
      <w:r>
        <w:t>Step 3 – ALCO / CLO Approval</w:t>
      </w:r>
    </w:p>
    <w:p>
      <w:pPr>
        <w:pStyle w:val="ListNumber"/>
      </w:pPr>
      <w:r>
        <w:t>Rate Change Memo + all sign-offs presented to ALCO at next scheduled meeting (or emergency call for urgent triggers).</w:t>
      </w:r>
    </w:p>
    <w:p>
      <w:pPr>
        <w:pStyle w:val="ListNumber"/>
      </w:pPr>
      <w:r>
        <w:t>ALCO votes: Approve / Reject / Defer with modified parameters.</w:t>
      </w:r>
    </w:p>
    <w:p>
      <w:pPr>
        <w:pStyle w:val="ListNumber"/>
      </w:pPr>
      <w:r>
        <w:t>CLO countersigns approval in the Lending Portal — this is the binding authorization.</w:t>
      </w:r>
    </w:p>
    <w:p>
      <w:pPr>
        <w:pStyle w:val="ListNumber"/>
      </w:pPr>
      <w:r>
        <w:t>Approved rate change logged in the Rate Change Register with Rate Change ID, approved rates, and effective date.</w:t>
      </w:r>
    </w:p>
    <w:p>
      <w:pPr>
        <w:pStyle w:val="ListNumber"/>
      </w:pPr>
      <w:r>
        <w:t>If rejected: Pricing Team revises and resubmits. Process restarts from Step 2.</w:t>
      </w:r>
    </w:p>
    <w:p>
      <w:pPr>
        <w:pStyle w:val="Heading3"/>
      </w:pPr>
      <w:r>
        <w:t>Step 4 – Core System Update (IT)</w:t>
      </w:r>
    </w:p>
    <w:p>
      <w:pPr>
        <w:pStyle w:val="ListNumber"/>
      </w:pPr>
      <w:r>
        <w:t>IT receives system change ticket automatically from Lending Portal upon CLO approval.</w:t>
      </w:r>
    </w:p>
    <w:p>
      <w:pPr>
        <w:pStyle w:val="ListNumber"/>
      </w:pPr>
      <w:r>
        <w:t>IT updates rate tables in core banking system (FiServ Precision / Jack Henry Symitar) in UAT environment first.</w:t>
      </w:r>
    </w:p>
    <w:p>
      <w:pPr>
        <w:pStyle w:val="ListNumber"/>
      </w:pPr>
      <w:r>
        <w:t>Pricing Team validates UAT: spot-check 10 loan scenarios across all 3 product categories.</w:t>
      </w:r>
    </w:p>
    <w:p>
      <w:pPr>
        <w:pStyle w:val="ListNumber"/>
      </w:pPr>
      <w:r>
        <w:t>UAT sign-off submitted by Pricing Team in the Lending Portal.</w:t>
      </w:r>
    </w:p>
    <w:p>
      <w:pPr>
        <w:pStyle w:val="ListNumber"/>
      </w:pPr>
      <w:r>
        <w:t>IT deploys rate changes to PRODUCTION no earlier than 6:00 PM the day before the effective date.</w:t>
      </w:r>
    </w:p>
    <w:p>
      <w:pPr>
        <w:pStyle w:val="ListNumber"/>
      </w:pPr>
      <w:r>
        <w:t>IT confirms successful deployment and logs completion in the Rate Change ticket.</w:t>
      </w:r>
    </w:p>
    <w:p>
      <w:pPr>
        <w:pStyle w:val="ListNumber"/>
      </w:pPr>
      <w:r>
        <w:t>Post-deployment: IT monitors system for 2 hours after go-live; any errors trigger immediate rollback.</w:t>
      </w:r>
    </w:p>
    <w:p>
      <w:pPr>
        <w:pStyle w:val="Heading3"/>
      </w:pPr>
      <w:r>
        <w:t>Step 5 – Product-Specific Communication &amp; Implementation</w:t>
      </w:r>
    </w:p>
    <w:p>
      <w:r>
        <w:t>Each product category follows its own communication protocol:</w:t>
      </w:r>
    </w:p>
    <w:p>
      <w:pPr>
        <w:pStyle w:val="Heading3"/>
      </w:pPr>
      <w:r>
        <w:t>5A – Indirect Auto</w:t>
      </w:r>
    </w:p>
    <w:p>
      <w:pPr>
        <w:pStyle w:val="ListNumber"/>
      </w:pPr>
      <w:r>
        <w:t>Indirect Auto Product Manager downloads updated Dealer Rate Sheet from the Lending Portal.</w:t>
      </w:r>
    </w:p>
    <w:p>
      <w:pPr>
        <w:pStyle w:val="ListNumber"/>
      </w:pPr>
      <w:r>
        <w:t>Rate sheet sent to all active dealer partners via secure email (DealerTrack portal notification) by 5:00 PM the day before effective date.</w:t>
      </w:r>
    </w:p>
    <w:p>
      <w:pPr>
        <w:pStyle w:val="ListNumber"/>
      </w:pPr>
      <w:r>
        <w:t>Subject line format: [RATE UPDATE] New Dealer Rate Sheet Effective [Date] – RC-2026-047</w:t>
      </w:r>
    </w:p>
    <w:p>
      <w:pPr>
        <w:pStyle w:val="ListNumber"/>
      </w:pPr>
      <w:r>
        <w:t>Call or voicemail sent to top 20 dealers (by volume) personally by the Indirect Auto Manager.</w:t>
      </w:r>
    </w:p>
    <w:p>
      <w:pPr>
        <w:pStyle w:val="ListNumber"/>
      </w:pPr>
      <w:r>
        <w:t>Dealer portal (DealerTrack) updated with new rate matrix by IT by 8:00 AM on effective date.</w:t>
      </w:r>
    </w:p>
    <w:p>
      <w:pPr>
        <w:pStyle w:val="ListNumber"/>
      </w:pPr>
      <w:r>
        <w:t>Dealers must submit any in-flight applications under old rates before 11:59 PM on the day prior to effective date.</w:t>
      </w:r>
    </w:p>
    <w:p>
      <w:pPr>
        <w:pStyle w:val="ListNumber"/>
      </w:pPr>
      <w:r>
        <w:t>Applications submitted after cut-off are automatically priced at the new rates.</w:t>
      </w:r>
    </w:p>
    <w:p>
      <w:pPr>
        <w:pStyle w:val="Heading3"/>
      </w:pPr>
      <w:r>
        <w:t>5B – Direct Auto</w:t>
      </w:r>
    </w:p>
    <w:p>
      <w:pPr>
        <w:pStyle w:val="ListNumber"/>
      </w:pPr>
      <w:r>
        <w:t>Direct Auto Product Manager updates branch rate boards (physical and digital) — submit update request to Marketing by 3:00 PM the day before.</w:t>
      </w:r>
    </w:p>
    <w:p>
      <w:pPr>
        <w:pStyle w:val="ListNumber"/>
      </w:pPr>
      <w:r>
        <w:t>Update digital rate display on bank website and mobile app — submit to IT by 3:00 PM the day before.</w:t>
      </w:r>
    </w:p>
    <w:p>
      <w:pPr>
        <w:pStyle w:val="ListNumber"/>
      </w:pPr>
      <w:r>
        <w:t>Branch Operations team notified via internal email with new rate table and FAQ document.</w:t>
      </w:r>
    </w:p>
    <w:p>
      <w:pPr>
        <w:pStyle w:val="ListNumber"/>
      </w:pPr>
      <w:r>
        <w:t>Loan officers attend a 15-minute rate briefing call at 8:30 AM on effective date.</w:t>
      </w:r>
    </w:p>
    <w:p>
      <w:pPr>
        <w:pStyle w:val="ListNumber"/>
      </w:pPr>
      <w:r>
        <w:t>Any loan application in underwriting that has not received a credit decision by effective date is repriced at new rates — applicant notified within 24 hours.</w:t>
      </w:r>
    </w:p>
    <w:p>
      <w:pPr>
        <w:pStyle w:val="ListNumber"/>
      </w:pPr>
      <w:r>
        <w:t>Existing pre-approvals that expire after effective date must be re-issued at new rates.</w:t>
      </w:r>
    </w:p>
    <w:p>
      <w:pPr>
        <w:pStyle w:val="Heading3"/>
      </w:pPr>
      <w:r>
        <w:t>5C – Business Banking</w:t>
      </w:r>
    </w:p>
    <w:p>
      <w:pPr>
        <w:pStyle w:val="ListNumber"/>
      </w:pPr>
      <w:r>
        <w:t>Business Banking Relationship Managers (RMs) pull list of all floating-rate business loans from core system.</w:t>
      </w:r>
    </w:p>
    <w:p>
      <w:pPr>
        <w:pStyle w:val="ListNumber"/>
      </w:pPr>
      <w:r>
        <w:t>For floating-rate (Prime-linked) loans: system automatically adjusts rate on effective date — no manual action required.</w:t>
      </w:r>
    </w:p>
    <w:p>
      <w:pPr>
        <w:pStyle w:val="ListNumber"/>
      </w:pPr>
      <w:r>
        <w:t>RMs send personalized written notice to all affected business clients at least 5 business days before effective date (required by loan agreements).</w:t>
      </w:r>
    </w:p>
    <w:p>
      <w:pPr>
        <w:pStyle w:val="ListNumber"/>
      </w:pPr>
      <w:r>
        <w:t>Notice template: use approved template from Compliance (Template ID: CC-BB-RATE-01); do NOT modify without Compliance sign-off.</w:t>
      </w:r>
    </w:p>
    <w:p>
      <w:pPr>
        <w:pStyle w:val="ListNumber"/>
      </w:pPr>
      <w:r>
        <w:t>For fixed-rate loan repricing (new originations only): RM updates rate quote in the Loan Origination System (LOS).</w:t>
      </w:r>
    </w:p>
    <w:p>
      <w:pPr>
        <w:pStyle w:val="ListNumber"/>
      </w:pPr>
      <w:r>
        <w:t>For lines of credit: updated rate reflected on next billing cycle statement.</w:t>
      </w:r>
    </w:p>
    <w:p>
      <w:pPr>
        <w:pStyle w:val="ListNumber"/>
      </w:pPr>
      <w:r>
        <w:t>RM documents client communication in CRM (Salesforce) within 24 hours.</w:t>
      </w:r>
    </w:p>
    <w:p>
      <w:pPr>
        <w:pStyle w:val="Heading3"/>
      </w:pPr>
      <w:r>
        <w:t>Step 6 – Post-Implementation Verification</w:t>
      </w:r>
    </w:p>
    <w:p>
      <w:pPr>
        <w:pStyle w:val="ListNumber"/>
      </w:pPr>
      <w:r>
        <w:t>Pricing Team pulls sample report from core system on effective date +1 to verify new rates are applied correctly.</w:t>
      </w:r>
    </w:p>
    <w:p>
      <w:pPr>
        <w:pStyle w:val="ListNumber"/>
      </w:pPr>
      <w:r>
        <w:t>Verify 5 loan accounts per product category (15 total): check rate displayed matches approved rate.</w:t>
      </w:r>
    </w:p>
    <w:p>
      <w:pPr>
        <w:pStyle w:val="ListNumber"/>
      </w:pPr>
      <w:r>
        <w:t>Check customer-facing channels: website, mobile app, branch digital boards all show new rates.</w:t>
      </w:r>
    </w:p>
    <w:p>
      <w:pPr>
        <w:pStyle w:val="ListNumber"/>
      </w:pPr>
      <w:r>
        <w:t>IT runs automated comparison: new loan originations priced at new rate vs. rate table — flag any mismatches.</w:t>
      </w:r>
    </w:p>
    <w:p>
      <w:pPr>
        <w:pStyle w:val="ListNumber"/>
      </w:pPr>
      <w:r>
        <w:t>Any discrepancy triggers immediate IT hotfix and incident report filed within 2 hours.</w:t>
      </w:r>
    </w:p>
    <w:p>
      <w:pPr>
        <w:pStyle w:val="ListNumber"/>
      </w:pPr>
      <w:r>
        <w:t>Verification completion report submitted to CLO and Compliance by end of day on effective date +1.</w:t>
      </w:r>
    </w:p>
    <w:p>
      <w:pPr>
        <w:pStyle w:val="Heading3"/>
      </w:pPr>
      <w:r>
        <w:t>Step 7 – Audit &amp; Record Keeping</w:t>
      </w:r>
    </w:p>
    <w:p>
      <w:pPr>
        <w:pStyle w:val="ListNumber"/>
      </w:pPr>
      <w:r>
        <w:t>Rate Change Register updated with: final rates implemented, effective date, and verification confirmation.</w:t>
      </w:r>
    </w:p>
    <w:p>
      <w:pPr>
        <w:pStyle w:val="ListNumber"/>
      </w:pPr>
      <w:r>
        <w:t>All documents (memo, approvals, sign-offs, communications) stored in SharePoint: Lending &gt; Rate Changes &gt; [Year] &gt; RC-2026-047.</w:t>
      </w:r>
    </w:p>
    <w:p>
      <w:pPr>
        <w:pStyle w:val="ListNumber"/>
      </w:pPr>
      <w:r>
        <w:t>Retention period: 7 years (per regulatory requirements).</w:t>
      </w:r>
    </w:p>
    <w:p>
      <w:pPr>
        <w:pStyle w:val="ListNumber"/>
      </w:pPr>
      <w:r>
        <w:t>Compliance performs quarterly audit of Rate Change Register — any gaps must be remediated within 30 days.</w:t>
      </w:r>
    </w:p>
    <w:p>
      <w:pPr>
        <w:pStyle w:val="Heading2"/>
      </w:pPr>
      <w:r>
        <w:t>6. Rate Structures by Product Category</w:t>
      </w:r>
    </w:p>
    <w:p>
      <w:pPr>
        <w:pStyle w:val="Heading3"/>
      </w:pPr>
      <w:r>
        <w:t>6A – Indirect Auto Rates</w:t>
      </w:r>
    </w:p>
    <w:p>
      <w:r>
        <w:t>Rates are tiered by credit tier and loan term. Example structure (post-change):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Credit 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FICO Range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24–36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37–48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49–60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61–72 Months</w:t>
            </w:r>
          </w:p>
        </w:tc>
      </w:tr>
      <w:tr>
        <w:tc>
          <w:tcPr>
            <w:tcW w:type="dxa" w:w="1440"/>
          </w:tcPr>
          <w:p>
            <w:r>
              <w:t>Tier 1 – Super Prime</w:t>
            </w:r>
          </w:p>
        </w:tc>
        <w:tc>
          <w:tcPr>
            <w:tcW w:type="dxa" w:w="1440"/>
          </w:tcPr>
          <w:p>
            <w:r>
              <w:t>750+</w:t>
            </w:r>
          </w:p>
        </w:tc>
        <w:tc>
          <w:tcPr>
            <w:tcW w:type="dxa" w:w="1440"/>
          </w:tcPr>
          <w:p>
            <w:r>
              <w:t>5.49%</w:t>
            </w:r>
          </w:p>
        </w:tc>
        <w:tc>
          <w:tcPr>
            <w:tcW w:type="dxa" w:w="1440"/>
          </w:tcPr>
          <w:p>
            <w:r>
              <w:t>5.74%</w:t>
            </w:r>
          </w:p>
        </w:tc>
        <w:tc>
          <w:tcPr>
            <w:tcW w:type="dxa" w:w="1440"/>
          </w:tcPr>
          <w:p>
            <w:r>
              <w:t>5.99%</w:t>
            </w:r>
          </w:p>
        </w:tc>
        <w:tc>
          <w:tcPr>
            <w:tcW w:type="dxa" w:w="1440"/>
          </w:tcPr>
          <w:p>
            <w:r>
              <w:t>6.49%</w:t>
            </w:r>
          </w:p>
        </w:tc>
      </w:tr>
      <w:tr>
        <w:tc>
          <w:tcPr>
            <w:tcW w:type="dxa" w:w="1440"/>
          </w:tcPr>
          <w:p>
            <w:r>
              <w:t>Tier 2 – Prime</w:t>
            </w:r>
          </w:p>
        </w:tc>
        <w:tc>
          <w:tcPr>
            <w:tcW w:type="dxa" w:w="1440"/>
          </w:tcPr>
          <w:p>
            <w:r>
              <w:t>700–749</w:t>
            </w:r>
          </w:p>
        </w:tc>
        <w:tc>
          <w:tcPr>
            <w:tcW w:type="dxa" w:w="1440"/>
          </w:tcPr>
          <w:p>
            <w:r>
              <w:t>6.24%</w:t>
            </w:r>
          </w:p>
        </w:tc>
        <w:tc>
          <w:tcPr>
            <w:tcW w:type="dxa" w:w="1440"/>
          </w:tcPr>
          <w:p>
            <w:r>
              <w:t>6.49%</w:t>
            </w:r>
          </w:p>
        </w:tc>
        <w:tc>
          <w:tcPr>
            <w:tcW w:type="dxa" w:w="1440"/>
          </w:tcPr>
          <w:p>
            <w:r>
              <w:t>6.74%</w:t>
            </w:r>
          </w:p>
        </w:tc>
        <w:tc>
          <w:tcPr>
            <w:tcW w:type="dxa" w:w="1440"/>
          </w:tcPr>
          <w:p>
            <w:r>
              <w:t>7.24%</w:t>
            </w:r>
          </w:p>
        </w:tc>
      </w:tr>
      <w:tr>
        <w:tc>
          <w:tcPr>
            <w:tcW w:type="dxa" w:w="1440"/>
          </w:tcPr>
          <w:p>
            <w:r>
              <w:t>Tier 3 – Near Prime</w:t>
            </w:r>
          </w:p>
        </w:tc>
        <w:tc>
          <w:tcPr>
            <w:tcW w:type="dxa" w:w="1440"/>
          </w:tcPr>
          <w:p>
            <w:r>
              <w:t>650–699</w:t>
            </w:r>
          </w:p>
        </w:tc>
        <w:tc>
          <w:tcPr>
            <w:tcW w:type="dxa" w:w="1440"/>
          </w:tcPr>
          <w:p>
            <w:r>
              <w:t>7.99%</w:t>
            </w:r>
          </w:p>
        </w:tc>
        <w:tc>
          <w:tcPr>
            <w:tcW w:type="dxa" w:w="1440"/>
          </w:tcPr>
          <w:p>
            <w:r>
              <w:t>8.49%</w:t>
            </w:r>
          </w:p>
        </w:tc>
        <w:tc>
          <w:tcPr>
            <w:tcW w:type="dxa" w:w="1440"/>
          </w:tcPr>
          <w:p>
            <w:r>
              <w:t>8.99%</w:t>
            </w:r>
          </w:p>
        </w:tc>
        <w:tc>
          <w:tcPr>
            <w:tcW w:type="dxa" w:w="1440"/>
          </w:tcPr>
          <w:p>
            <w:r>
              <w:t>9.49%</w:t>
            </w:r>
          </w:p>
        </w:tc>
      </w:tr>
      <w:tr>
        <w:tc>
          <w:tcPr>
            <w:tcW w:type="dxa" w:w="1440"/>
          </w:tcPr>
          <w:p>
            <w:r>
              <w:t>Tier 4 – Sub Prime</w:t>
            </w:r>
          </w:p>
        </w:tc>
        <w:tc>
          <w:tcPr>
            <w:tcW w:type="dxa" w:w="1440"/>
          </w:tcPr>
          <w:p>
            <w:r>
              <w:t>600–649</w:t>
            </w:r>
          </w:p>
        </w:tc>
        <w:tc>
          <w:tcPr>
            <w:tcW w:type="dxa" w:w="1440"/>
          </w:tcPr>
          <w:p>
            <w:r>
              <w:t>10.49%</w:t>
            </w:r>
          </w:p>
        </w:tc>
        <w:tc>
          <w:tcPr>
            <w:tcW w:type="dxa" w:w="1440"/>
          </w:tcPr>
          <w:p>
            <w:r>
              <w:t>10.99%</w:t>
            </w:r>
          </w:p>
        </w:tc>
        <w:tc>
          <w:tcPr>
            <w:tcW w:type="dxa" w:w="1440"/>
          </w:tcPr>
          <w:p>
            <w:r>
              <w:t>11.49%</w:t>
            </w:r>
          </w:p>
        </w:tc>
        <w:tc>
          <w:tcPr>
            <w:tcW w:type="dxa" w:w="1440"/>
          </w:tcPr>
          <w:p>
            <w:r>
              <w:t>12.49%</w:t>
            </w:r>
          </w:p>
        </w:tc>
      </w:tr>
      <w:tr>
        <w:tc>
          <w:tcPr>
            <w:tcW w:type="dxa" w:w="1440"/>
          </w:tcPr>
          <w:p>
            <w:r>
              <w:t>Tier 5 – Deep Sub</w:t>
            </w:r>
          </w:p>
        </w:tc>
        <w:tc>
          <w:tcPr>
            <w:tcW w:type="dxa" w:w="1440"/>
          </w:tcPr>
          <w:p>
            <w:r>
              <w:t>Below 600</w:t>
            </w:r>
          </w:p>
        </w:tc>
        <w:tc>
          <w:tcPr>
            <w:tcW w:type="dxa" w:w="1440"/>
          </w:tcPr>
          <w:p>
            <w:r>
              <w:t>13.99%</w:t>
            </w:r>
          </w:p>
        </w:tc>
        <w:tc>
          <w:tcPr>
            <w:tcW w:type="dxa" w:w="1440"/>
          </w:tcPr>
          <w:p>
            <w:r>
              <w:t>14.49%</w:t>
            </w:r>
          </w:p>
        </w:tc>
        <w:tc>
          <w:tcPr>
            <w:tcW w:type="dxa" w:w="1440"/>
          </w:tcPr>
          <w:p>
            <w:r>
              <w:t>14.99%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/>
    <w:p>
      <w:pPr>
        <w:pStyle w:val="Heading3"/>
      </w:pPr>
      <w:r>
        <w:t>6B – Direct Auto Rates</w:t>
      </w:r>
    </w:p>
    <w:p>
      <w:r>
        <w:t>Direct auto rates are generally 25–50bps lower than indirect (no dealer markup). Example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Credit 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FICO Range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Up to 48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49–60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61–72 Months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73–84 Months</w:t>
            </w:r>
          </w:p>
        </w:tc>
      </w:tr>
      <w:tr>
        <w:tc>
          <w:tcPr>
            <w:tcW w:type="dxa" w:w="1440"/>
          </w:tcPr>
          <w:p>
            <w:r>
              <w:t>Tier 1 – Excellent</w:t>
            </w:r>
          </w:p>
        </w:tc>
        <w:tc>
          <w:tcPr>
            <w:tcW w:type="dxa" w:w="1440"/>
          </w:tcPr>
          <w:p>
            <w:r>
              <w:t>750+</w:t>
            </w:r>
          </w:p>
        </w:tc>
        <w:tc>
          <w:tcPr>
            <w:tcW w:type="dxa" w:w="1440"/>
          </w:tcPr>
          <w:p>
            <w:r>
              <w:t>5.24%</w:t>
            </w:r>
          </w:p>
        </w:tc>
        <w:tc>
          <w:tcPr>
            <w:tcW w:type="dxa" w:w="1440"/>
          </w:tcPr>
          <w:p>
            <w:r>
              <w:t>5.49%</w:t>
            </w:r>
          </w:p>
        </w:tc>
        <w:tc>
          <w:tcPr>
            <w:tcW w:type="dxa" w:w="1440"/>
          </w:tcPr>
          <w:p>
            <w:r>
              <w:t>5.99%</w:t>
            </w:r>
          </w:p>
        </w:tc>
        <w:tc>
          <w:tcPr>
            <w:tcW w:type="dxa" w:w="1440"/>
          </w:tcPr>
          <w:p>
            <w:r>
              <w:t>6.49%</w:t>
            </w:r>
          </w:p>
        </w:tc>
      </w:tr>
      <w:tr>
        <w:tc>
          <w:tcPr>
            <w:tcW w:type="dxa" w:w="1440"/>
          </w:tcPr>
          <w:p>
            <w:r>
              <w:t>Tier 2 – Good</w:t>
            </w:r>
          </w:p>
        </w:tc>
        <w:tc>
          <w:tcPr>
            <w:tcW w:type="dxa" w:w="1440"/>
          </w:tcPr>
          <w:p>
            <w:r>
              <w:t>700–749</w:t>
            </w:r>
          </w:p>
        </w:tc>
        <w:tc>
          <w:tcPr>
            <w:tcW w:type="dxa" w:w="1440"/>
          </w:tcPr>
          <w:p>
            <w:r>
              <w:t>5.99%</w:t>
            </w:r>
          </w:p>
        </w:tc>
        <w:tc>
          <w:tcPr>
            <w:tcW w:type="dxa" w:w="1440"/>
          </w:tcPr>
          <w:p>
            <w:r>
              <w:t>6.24%</w:t>
            </w:r>
          </w:p>
        </w:tc>
        <w:tc>
          <w:tcPr>
            <w:tcW w:type="dxa" w:w="1440"/>
          </w:tcPr>
          <w:p>
            <w:r>
              <w:t>6.74%</w:t>
            </w:r>
          </w:p>
        </w:tc>
        <w:tc>
          <w:tcPr>
            <w:tcW w:type="dxa" w:w="1440"/>
          </w:tcPr>
          <w:p>
            <w:r>
              <w:t>7.24%</w:t>
            </w:r>
          </w:p>
        </w:tc>
      </w:tr>
      <w:tr>
        <w:tc>
          <w:tcPr>
            <w:tcW w:type="dxa" w:w="1440"/>
          </w:tcPr>
          <w:p>
            <w:r>
              <w:t>Tier 3 – Fair</w:t>
            </w:r>
          </w:p>
        </w:tc>
        <w:tc>
          <w:tcPr>
            <w:tcW w:type="dxa" w:w="1440"/>
          </w:tcPr>
          <w:p>
            <w:r>
              <w:t>650–699</w:t>
            </w:r>
          </w:p>
        </w:tc>
        <w:tc>
          <w:tcPr>
            <w:tcW w:type="dxa" w:w="1440"/>
          </w:tcPr>
          <w:p>
            <w:r>
              <w:t>7.74%</w:t>
            </w:r>
          </w:p>
        </w:tc>
        <w:tc>
          <w:tcPr>
            <w:tcW w:type="dxa" w:w="1440"/>
          </w:tcPr>
          <w:p>
            <w:r>
              <w:t>8.24%</w:t>
            </w:r>
          </w:p>
        </w:tc>
        <w:tc>
          <w:tcPr>
            <w:tcW w:type="dxa" w:w="1440"/>
          </w:tcPr>
          <w:p>
            <w:r>
              <w:t>8.74%</w:t>
            </w:r>
          </w:p>
        </w:tc>
        <w:tc>
          <w:tcPr>
            <w:tcW w:type="dxa" w:w="1440"/>
          </w:tcPr>
          <w:p>
            <w:r>
              <w:t>9.24%</w:t>
            </w:r>
          </w:p>
        </w:tc>
      </w:tr>
      <w:tr>
        <w:tc>
          <w:tcPr>
            <w:tcW w:type="dxa" w:w="1440"/>
          </w:tcPr>
          <w:p>
            <w:r>
              <w:t>Tier 4 – Poor</w:t>
            </w:r>
          </w:p>
        </w:tc>
        <w:tc>
          <w:tcPr>
            <w:tcW w:type="dxa" w:w="1440"/>
          </w:tcPr>
          <w:p>
            <w:r>
              <w:t>600–649</w:t>
            </w:r>
          </w:p>
        </w:tc>
        <w:tc>
          <w:tcPr>
            <w:tcW w:type="dxa" w:w="1440"/>
          </w:tcPr>
          <w:p>
            <w:r>
              <w:t>10.24%</w:t>
            </w:r>
          </w:p>
        </w:tc>
        <w:tc>
          <w:tcPr>
            <w:tcW w:type="dxa" w:w="1440"/>
          </w:tcPr>
          <w:p>
            <w:r>
              <w:t>10.74%</w:t>
            </w:r>
          </w:p>
        </w:tc>
        <w:tc>
          <w:tcPr>
            <w:tcW w:type="dxa" w:w="1440"/>
          </w:tcPr>
          <w:p>
            <w:r>
              <w:t>11.24%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</w:tbl>
    <w:p/>
    <w:p>
      <w:pPr>
        <w:pStyle w:val="Heading3"/>
      </w:pPr>
      <w:r>
        <w:t>6C – Business Banking Rates</w:t>
      </w:r>
    </w:p>
    <w:p>
      <w:r>
        <w:t>Business rates are indexed to Prime Rate or SOFR. Example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Spread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Effective Rate (Prime=8.5%)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Rate</w:t>
            </w:r>
          </w:p>
        </w:tc>
      </w:tr>
      <w:tr>
        <w:tc>
          <w:tcPr>
            <w:tcW w:type="dxa" w:w="1728"/>
          </w:tcPr>
          <w:p>
            <w:r>
              <w:t>Business Line of Credit</w:t>
            </w:r>
          </w:p>
        </w:tc>
        <w:tc>
          <w:tcPr>
            <w:tcW w:type="dxa" w:w="1728"/>
          </w:tcPr>
          <w:p>
            <w:r>
              <w:t>Prime</w:t>
            </w:r>
          </w:p>
        </w:tc>
        <w:tc>
          <w:tcPr>
            <w:tcW w:type="dxa" w:w="1728"/>
          </w:tcPr>
          <w:p>
            <w:r>
              <w:t>Prime + 1.5%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18.00%</w:t>
            </w:r>
          </w:p>
        </w:tc>
      </w:tr>
      <w:tr>
        <w:tc>
          <w:tcPr>
            <w:tcW w:type="dxa" w:w="1728"/>
          </w:tcPr>
          <w:p>
            <w:r>
              <w:t>SBA 7(a) Loan</w:t>
            </w:r>
          </w:p>
        </w:tc>
        <w:tc>
          <w:tcPr>
            <w:tcW w:type="dxa" w:w="1728"/>
          </w:tcPr>
          <w:p>
            <w:r>
              <w:t>Prime</w:t>
            </w:r>
          </w:p>
        </w:tc>
        <w:tc>
          <w:tcPr>
            <w:tcW w:type="dxa" w:w="1728"/>
          </w:tcPr>
          <w:p>
            <w:r>
              <w:t>Prime + 2.75%</w:t>
            </w:r>
          </w:p>
        </w:tc>
        <w:tc>
          <w:tcPr>
            <w:tcW w:type="dxa" w:w="1728"/>
          </w:tcPr>
          <w:p>
            <w:r>
              <w:t>11.25%</w:t>
            </w:r>
          </w:p>
        </w:tc>
        <w:tc>
          <w:tcPr>
            <w:tcW w:type="dxa" w:w="1728"/>
          </w:tcPr>
          <w:p>
            <w:r>
              <w:t>Prime + 2.75%</w:t>
            </w:r>
          </w:p>
        </w:tc>
      </w:tr>
      <w:tr>
        <w:tc>
          <w:tcPr>
            <w:tcW w:type="dxa" w:w="1728"/>
          </w:tcPr>
          <w:p>
            <w:r>
              <w:t>Commercial Term Loan</w:t>
            </w:r>
          </w:p>
        </w:tc>
        <w:tc>
          <w:tcPr>
            <w:tcW w:type="dxa" w:w="1728"/>
          </w:tcPr>
          <w:p>
            <w:r>
              <w:t>SOFR</w:t>
            </w:r>
          </w:p>
        </w:tc>
        <w:tc>
          <w:tcPr>
            <w:tcW w:type="dxa" w:w="1728"/>
          </w:tcPr>
          <w:p>
            <w:r>
              <w:t>SOFR + 3.00%</w:t>
            </w:r>
          </w:p>
        </w:tc>
        <w:tc>
          <w:tcPr>
            <w:tcW w:type="dxa" w:w="1728"/>
          </w:tcPr>
          <w:p>
            <w:r>
              <w:t>8.35%</w:t>
            </w:r>
          </w:p>
        </w:tc>
        <w:tc>
          <w:tcPr>
            <w:tcW w:type="dxa" w:w="1728"/>
          </w:tcPr>
          <w:p>
            <w:r>
              <w:t>21.00%</w:t>
            </w:r>
          </w:p>
        </w:tc>
      </w:tr>
      <w:tr>
        <w:tc>
          <w:tcPr>
            <w:tcW w:type="dxa" w:w="1728"/>
          </w:tcPr>
          <w:p>
            <w:r>
              <w:t>Commercial Real Estate</w:t>
            </w:r>
          </w:p>
        </w:tc>
        <w:tc>
          <w:tcPr>
            <w:tcW w:type="dxa" w:w="1728"/>
          </w:tcPr>
          <w:p>
            <w:r>
              <w:t>SOFR</w:t>
            </w:r>
          </w:p>
        </w:tc>
        <w:tc>
          <w:tcPr>
            <w:tcW w:type="dxa" w:w="1728"/>
          </w:tcPr>
          <w:p>
            <w:r>
              <w:t>SOFR + 2.50%</w:t>
            </w:r>
          </w:p>
        </w:tc>
        <w:tc>
          <w:tcPr>
            <w:tcW w:type="dxa" w:w="1728"/>
          </w:tcPr>
          <w:p>
            <w:r>
              <w:t>7.85%</w:t>
            </w:r>
          </w:p>
        </w:tc>
        <w:tc>
          <w:tcPr>
            <w:tcW w:type="dxa" w:w="1728"/>
          </w:tcPr>
          <w:p>
            <w:r>
              <w:t>18.00%</w:t>
            </w:r>
          </w:p>
        </w:tc>
      </w:tr>
      <w:tr>
        <w:tc>
          <w:tcPr>
            <w:tcW w:type="dxa" w:w="1728"/>
          </w:tcPr>
          <w:p>
            <w:r>
              <w:t>Equipment Financing</w:t>
            </w:r>
          </w:p>
        </w:tc>
        <w:tc>
          <w:tcPr>
            <w:tcW w:type="dxa" w:w="1728"/>
          </w:tcPr>
          <w:p>
            <w:r>
              <w:t>Prime</w:t>
            </w:r>
          </w:p>
        </w:tc>
        <w:tc>
          <w:tcPr>
            <w:tcW w:type="dxa" w:w="1728"/>
          </w:tcPr>
          <w:p>
            <w:r>
              <w:t>Prime + 2.00%</w:t>
            </w:r>
          </w:p>
        </w:tc>
        <w:tc>
          <w:tcPr>
            <w:tcW w:type="dxa" w:w="1728"/>
          </w:tcPr>
          <w:p>
            <w:r>
              <w:t>10.50%</w:t>
            </w:r>
          </w:p>
        </w:tc>
        <w:tc>
          <w:tcPr>
            <w:tcW w:type="dxa" w:w="1728"/>
          </w:tcPr>
          <w:p>
            <w:r>
              <w:t>18.00%</w:t>
            </w:r>
          </w:p>
        </w:tc>
      </w:tr>
    </w:tbl>
    <w:p/>
    <w:p>
      <w:pPr>
        <w:pStyle w:val="Heading2"/>
      </w:pPr>
      <w:r>
        <w:t>7. What To Do If Stuck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to Contact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t>Core system not updated on effective date</w:t>
            </w:r>
          </w:p>
        </w:tc>
        <w:tc>
          <w:tcPr>
            <w:tcW w:type="dxa" w:w="2880"/>
          </w:tcPr>
          <w:p>
            <w:r>
              <w:t>IT Core Banking (corebanking@bank.com)</w:t>
            </w:r>
          </w:p>
        </w:tc>
        <w:tc>
          <w:tcPr>
            <w:tcW w:type="dxa" w:w="2880"/>
          </w:tcPr>
          <w:p>
            <w:r>
              <w:t>Call IT hotline; initiate incident ticket; notify CLO; consider temporary rate freeze</w:t>
            </w:r>
          </w:p>
        </w:tc>
      </w:tr>
      <w:tr>
        <w:tc>
          <w:tcPr>
            <w:tcW w:type="dxa" w:w="2880"/>
          </w:tcPr>
          <w:p>
            <w:r>
              <w:t>Dealer claims they did not receive rate sheet</w:t>
            </w:r>
          </w:p>
        </w:tc>
        <w:tc>
          <w:tcPr>
            <w:tcW w:type="dxa" w:w="2880"/>
          </w:tcPr>
          <w:p>
            <w:r>
              <w:t>Indirect Auto PM (l.cho@bank.com)</w:t>
            </w:r>
          </w:p>
        </w:tc>
        <w:tc>
          <w:tcPr>
            <w:tcW w:type="dxa" w:w="2880"/>
          </w:tcPr>
          <w:p>
            <w:r>
              <w:t>Resend immediately; check DealerTrack portal; document in Rate Change log</w:t>
            </w:r>
          </w:p>
        </w:tc>
      </w:tr>
      <w:tr>
        <w:tc>
          <w:tcPr>
            <w:tcW w:type="dxa" w:w="2880"/>
          </w:tcPr>
          <w:p>
            <w:r>
              <w:t>Business client disputes rate change</w:t>
            </w:r>
          </w:p>
        </w:tc>
        <w:tc>
          <w:tcPr>
            <w:tcW w:type="dxa" w:w="2880"/>
          </w:tcPr>
          <w:p>
            <w:r>
              <w:t>Relationship Manager + Compliance</w:t>
            </w:r>
          </w:p>
        </w:tc>
        <w:tc>
          <w:tcPr>
            <w:tcW w:type="dxa" w:w="2880"/>
          </w:tcPr>
          <w:p>
            <w:r>
              <w:t>Pull loan agreement; verify notice was sent 5 days prior; escalate to CLO if disputed</w:t>
            </w:r>
          </w:p>
        </w:tc>
      </w:tr>
      <w:tr>
        <w:tc>
          <w:tcPr>
            <w:tcW w:type="dxa" w:w="2880"/>
          </w:tcPr>
          <w:p>
            <w:r>
              <w:t>Compliance flags a rate as exceeding usury limit</w:t>
            </w:r>
          </w:p>
        </w:tc>
        <w:tc>
          <w:tcPr>
            <w:tcW w:type="dxa" w:w="2880"/>
          </w:tcPr>
          <w:p>
            <w:r>
              <w:t>Compliance (compliance@bank.com)</w:t>
            </w:r>
          </w:p>
        </w:tc>
        <w:tc>
          <w:tcPr>
            <w:tcW w:type="dxa" w:w="2880"/>
          </w:tcPr>
          <w:p>
            <w:r>
              <w:t>Immediately pause that product's rate change; convene emergency ALCO call within 4 hours</w:t>
            </w:r>
          </w:p>
        </w:tc>
      </w:tr>
      <w:tr>
        <w:tc>
          <w:tcPr>
            <w:tcW w:type="dxa" w:w="2880"/>
          </w:tcPr>
          <w:p>
            <w:r>
              <w:t>ALCO cannot reach quorum for approval</w:t>
            </w:r>
          </w:p>
        </w:tc>
        <w:tc>
          <w:tcPr>
            <w:tcW w:type="dxa" w:w="2880"/>
          </w:tcPr>
          <w:p>
            <w:r>
              <w:t>CLO / Board Secretary</w:t>
            </w:r>
          </w:p>
        </w:tc>
        <w:tc>
          <w:tcPr>
            <w:tcW w:type="dxa" w:w="2880"/>
          </w:tcPr>
          <w:p>
            <w:r>
              <w:t>CLO can grant emergency approval for Fed-driven changes; document exception</w:t>
            </w:r>
          </w:p>
        </w:tc>
      </w:tr>
      <w:tr>
        <w:tc>
          <w:tcPr>
            <w:tcW w:type="dxa" w:w="2880"/>
          </w:tcPr>
          <w:p>
            <w:r>
              <w:t>Rate change applied to wrong loan accounts</w:t>
            </w:r>
          </w:p>
        </w:tc>
        <w:tc>
          <w:tcPr>
            <w:tcW w:type="dxa" w:w="2880"/>
          </w:tcPr>
          <w:p>
            <w:r>
              <w:t>IT + Pricing Team</w:t>
            </w:r>
          </w:p>
        </w:tc>
        <w:tc>
          <w:tcPr>
            <w:tcW w:type="dxa" w:w="2880"/>
          </w:tcPr>
          <w:p>
            <w:r>
              <w:t>Trigger rollback; freeze new originations; notify Compliance; remediate within 24 hours</w:t>
            </w:r>
          </w:p>
        </w:tc>
      </w:tr>
      <w:tr>
        <w:tc>
          <w:tcPr>
            <w:tcW w:type="dxa" w:w="2880"/>
          </w:tcPr>
          <w:p>
            <w:r>
              <w:t>Uncertain which rate tier applies to a customer</w:t>
            </w:r>
          </w:p>
        </w:tc>
        <w:tc>
          <w:tcPr>
            <w:tcW w:type="dxa" w:w="2880"/>
          </w:tcPr>
          <w:p>
            <w:r>
              <w:t>Pricing Team (pricing@bank.com)</w:t>
            </w:r>
          </w:p>
        </w:tc>
        <w:tc>
          <w:tcPr>
            <w:tcW w:type="dxa" w:w="2880"/>
          </w:tcPr>
          <w:p>
            <w:r>
              <w:t>Use Tier Calculator in Lending Portal; do not manually override without manager approval</w:t>
            </w:r>
          </w:p>
        </w:tc>
      </w:tr>
      <w:tr>
        <w:tc>
          <w:tcPr>
            <w:tcW w:type="dxa" w:w="2880"/>
          </w:tcPr>
          <w:p>
            <w:r>
              <w:t>Rate change needed outside normal business hours</w:t>
            </w:r>
          </w:p>
        </w:tc>
        <w:tc>
          <w:tcPr>
            <w:tcW w:type="dxa" w:w="2880"/>
          </w:tcPr>
          <w:p>
            <w:r>
              <w:t>On-call IT lead (via PagerDuty)</w:t>
            </w:r>
          </w:p>
        </w:tc>
        <w:tc>
          <w:tcPr>
            <w:tcW w:type="dxa" w:w="2880"/>
          </w:tcPr>
          <w:p>
            <w:r>
              <w:t>CLO provides verbal authorization; IT implements; written approval logged next business day</w:t>
            </w:r>
          </w:p>
        </w:tc>
      </w:tr>
    </w:tbl>
    <w:p/>
    <w:p>
      <w:pPr>
        <w:pStyle w:val="Heading2"/>
      </w:pPr>
      <w:r>
        <w:t>8. Task Frequency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Monitor Fed Funds Rate announcements (FOMC calendar)</w:t>
            </w:r>
          </w:p>
        </w:tc>
        <w:tc>
          <w:tcPr>
            <w:tcW w:type="dxa" w:w="2880"/>
          </w:tcPr>
          <w:p>
            <w:r>
              <w:t>8 times per year (FOMC schedule)</w:t>
            </w:r>
          </w:p>
        </w:tc>
        <w:tc>
          <w:tcPr>
            <w:tcW w:type="dxa" w:w="2880"/>
          </w:tcPr>
          <w:p>
            <w:r>
              <w:t>CLO / Pricing Team</w:t>
            </w:r>
          </w:p>
        </w:tc>
      </w:tr>
      <w:tr>
        <w:tc>
          <w:tcPr>
            <w:tcW w:type="dxa" w:w="2880"/>
          </w:tcPr>
          <w:p>
            <w:r>
              <w:t>Internal pricing review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ALCO Committee</w:t>
            </w:r>
          </w:p>
        </w:tc>
      </w:tr>
      <w:tr>
        <w:tc>
          <w:tcPr>
            <w:tcW w:type="dxa" w:w="2880"/>
          </w:tcPr>
          <w:p>
            <w:r>
              <w:t>Competitor rate benchmarking report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Pricing &amp; Analytics Team</w:t>
            </w:r>
          </w:p>
        </w:tc>
      </w:tr>
      <w:tr>
        <w:tc>
          <w:tcPr>
            <w:tcW w:type="dxa" w:w="2880"/>
          </w:tcPr>
          <w:p>
            <w:r>
              <w:t>Dealer Rate Sheet distribution</w:t>
            </w:r>
          </w:p>
        </w:tc>
        <w:tc>
          <w:tcPr>
            <w:tcW w:type="dxa" w:w="2880"/>
          </w:tcPr>
          <w:p>
            <w:r>
              <w:t>Per rate change event</w:t>
            </w:r>
          </w:p>
        </w:tc>
        <w:tc>
          <w:tcPr>
            <w:tcW w:type="dxa" w:w="2880"/>
          </w:tcPr>
          <w:p>
            <w:r>
              <w:t>Indirect Auto PM</w:t>
            </w:r>
          </w:p>
        </w:tc>
      </w:tr>
      <w:tr>
        <w:tc>
          <w:tcPr>
            <w:tcW w:type="dxa" w:w="2880"/>
          </w:tcPr>
          <w:p>
            <w:r>
              <w:t>Branch rate board update verification</w:t>
            </w:r>
          </w:p>
        </w:tc>
        <w:tc>
          <w:tcPr>
            <w:tcW w:type="dxa" w:w="2880"/>
          </w:tcPr>
          <w:p>
            <w:r>
              <w:t>Per rate change event + monthly audit</w:t>
            </w:r>
          </w:p>
        </w:tc>
        <w:tc>
          <w:tcPr>
            <w:tcW w:type="dxa" w:w="2880"/>
          </w:tcPr>
          <w:p>
            <w:r>
              <w:t>Direct Auto PM</w:t>
            </w:r>
          </w:p>
        </w:tc>
      </w:tr>
      <w:tr>
        <w:tc>
          <w:tcPr>
            <w:tcW w:type="dxa" w:w="2880"/>
          </w:tcPr>
          <w:p>
            <w:r>
              <w:t>Business client floating-rate notification</w:t>
            </w:r>
          </w:p>
        </w:tc>
        <w:tc>
          <w:tcPr>
            <w:tcW w:type="dxa" w:w="2880"/>
          </w:tcPr>
          <w:p>
            <w:r>
              <w:t>Per rate change event (5 days prior)</w:t>
            </w:r>
          </w:p>
        </w:tc>
        <w:tc>
          <w:tcPr>
            <w:tcW w:type="dxa" w:w="2880"/>
          </w:tcPr>
          <w:p>
            <w:r>
              <w:t>Relationship Managers</w:t>
            </w:r>
          </w:p>
        </w:tc>
      </w:tr>
      <w:tr>
        <w:tc>
          <w:tcPr>
            <w:tcW w:type="dxa" w:w="2880"/>
          </w:tcPr>
          <w:p>
            <w:r>
              <w:t>Post-implementation verification report</w:t>
            </w:r>
          </w:p>
        </w:tc>
        <w:tc>
          <w:tcPr>
            <w:tcW w:type="dxa" w:w="2880"/>
          </w:tcPr>
          <w:p>
            <w:r>
              <w:t>Within 1 day of effective date</w:t>
            </w:r>
          </w:p>
        </w:tc>
        <w:tc>
          <w:tcPr>
            <w:tcW w:type="dxa" w:w="2880"/>
          </w:tcPr>
          <w:p>
            <w:r>
              <w:t>Pricing Team + IT</w:t>
            </w:r>
          </w:p>
        </w:tc>
      </w:tr>
      <w:tr>
        <w:tc>
          <w:tcPr>
            <w:tcW w:type="dxa" w:w="2880"/>
          </w:tcPr>
          <w:p>
            <w:r>
              <w:t>Rate Change Register audit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</w:tr>
      <w:tr>
        <w:tc>
          <w:tcPr>
            <w:tcW w:type="dxa" w:w="2880"/>
          </w:tcPr>
          <w:p>
            <w:r>
              <w:t>SOP review and update</w:t>
            </w:r>
          </w:p>
        </w:tc>
        <w:tc>
          <w:tcPr>
            <w:tcW w:type="dxa" w:w="2880"/>
          </w:tcPr>
          <w:p>
            <w:r>
              <w:t>Annually or after any major incident</w:t>
            </w:r>
          </w:p>
        </w:tc>
        <w:tc>
          <w:tcPr>
            <w:tcW w:type="dxa" w:w="2880"/>
          </w:tcPr>
          <w:p>
            <w:r>
              <w:t>CLO</w:t>
            </w:r>
          </w:p>
        </w:tc>
      </w:tr>
    </w:tbl>
    <w:p/>
    <w:p>
      <w:pPr>
        <w:pStyle w:val="Heading2"/>
      </w:pPr>
      <w:r>
        <w:t>9. Compliance &amp; Regulatory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Requirement</w:t>
            </w:r>
          </w:p>
        </w:tc>
      </w:tr>
      <w:tr>
        <w:tc>
          <w:tcPr>
            <w:tcW w:type="dxa" w:w="2880"/>
          </w:tcPr>
          <w:p>
            <w:r>
              <w:t>Regulation Z (TILA)</w:t>
            </w:r>
          </w:p>
        </w:tc>
        <w:tc>
          <w:tcPr>
            <w:tcW w:type="dxa" w:w="2880"/>
          </w:tcPr>
          <w:p>
            <w:r>
              <w:t>Direct Auto, Indirect Auto</w:t>
            </w:r>
          </w:p>
        </w:tc>
        <w:tc>
          <w:tcPr>
            <w:tcW w:type="dxa" w:w="2880"/>
          </w:tcPr>
          <w:p>
            <w:r>
              <w:t>Disclose APR and finance charge changes in writing before effective date</w:t>
            </w:r>
          </w:p>
        </w:tc>
      </w:tr>
      <w:tr>
        <w:tc>
          <w:tcPr>
            <w:tcW w:type="dxa" w:w="2880"/>
          </w:tcPr>
          <w:p>
            <w:r>
              <w:t>Equal Credit Opportunity Act (ECOA)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  <w:tc>
          <w:tcPr>
            <w:tcW w:type="dxa" w:w="2880"/>
          </w:tcPr>
          <w:p>
            <w:r>
              <w:t>Rate tiers must be based on creditworthiness only; no disparate impact</w:t>
            </w:r>
          </w:p>
        </w:tc>
      </w:tr>
      <w:tr>
        <w:tc>
          <w:tcPr>
            <w:tcW w:type="dxa" w:w="2880"/>
          </w:tcPr>
          <w:p>
            <w:r>
              <w:t>Military Lending Act (MLA)</w:t>
            </w:r>
          </w:p>
        </w:tc>
        <w:tc>
          <w:tcPr>
            <w:tcW w:type="dxa" w:w="2880"/>
          </w:tcPr>
          <w:p>
            <w:r>
              <w:t>Direct &amp; Indirect Auto</w:t>
            </w:r>
          </w:p>
        </w:tc>
        <w:tc>
          <w:tcPr>
            <w:tcW w:type="dxa" w:w="2880"/>
          </w:tcPr>
          <w:p>
            <w:r>
              <w:t>Max 36% MAPR for covered borrowers; verify status before pricing</w:t>
            </w:r>
          </w:p>
        </w:tc>
      </w:tr>
      <w:tr>
        <w:tc>
          <w:tcPr>
            <w:tcW w:type="dxa" w:w="2880"/>
          </w:tcPr>
          <w:p>
            <w:r>
              <w:t>State Usury Laws</w:t>
            </w:r>
          </w:p>
        </w:tc>
        <w:tc>
          <w:tcPr>
            <w:tcW w:type="dxa" w:w="2880"/>
          </w:tcPr>
          <w:p>
            <w:r>
              <w:t>All products</w:t>
            </w:r>
          </w:p>
        </w:tc>
        <w:tc>
          <w:tcPr>
            <w:tcW w:type="dxa" w:w="2880"/>
          </w:tcPr>
          <w:p>
            <w:r>
              <w:t>Rate must not exceed state-mandated maximum; varies by state</w:t>
            </w:r>
          </w:p>
        </w:tc>
      </w:tr>
      <w:tr>
        <w:tc>
          <w:tcPr>
            <w:tcW w:type="dxa" w:w="2880"/>
          </w:tcPr>
          <w:p>
            <w:r>
              <w:t>Flood Disaster Protection Act</w:t>
            </w:r>
          </w:p>
        </w:tc>
        <w:tc>
          <w:tcPr>
            <w:tcW w:type="dxa" w:w="2880"/>
          </w:tcPr>
          <w:p>
            <w:r>
              <w:t>Business Banking (RE-secured)</w:t>
            </w:r>
          </w:p>
        </w:tc>
        <w:tc>
          <w:tcPr>
            <w:tcW w:type="dxa" w:w="2880"/>
          </w:tcPr>
          <w:p>
            <w:r>
              <w:t>Rate change notifications for flood-zone collateral</w:t>
            </w:r>
          </w:p>
        </w:tc>
      </w:tr>
      <w:tr>
        <w:tc>
          <w:tcPr>
            <w:tcW w:type="dxa" w:w="2880"/>
          </w:tcPr>
          <w:p>
            <w:r>
              <w:t>UCC Article 9</w:t>
            </w:r>
          </w:p>
        </w:tc>
        <w:tc>
          <w:tcPr>
            <w:tcW w:type="dxa" w:w="2880"/>
          </w:tcPr>
          <w:p>
            <w:r>
              <w:t>Business Banking</w:t>
            </w:r>
          </w:p>
        </w:tc>
        <w:tc>
          <w:tcPr>
            <w:tcW w:type="dxa" w:w="2880"/>
          </w:tcPr>
          <w:p>
            <w:r>
              <w:t>Secured collateral terms must be updated in loan docs if rate changes structure</w:t>
            </w:r>
          </w:p>
        </w:tc>
      </w:tr>
      <w:tr>
        <w:tc>
          <w:tcPr>
            <w:tcW w:type="dxa" w:w="2880"/>
          </w:tcPr>
          <w:p>
            <w:r>
              <w:t>CFPB Supervisory Guidelines</w:t>
            </w:r>
          </w:p>
        </w:tc>
        <w:tc>
          <w:tcPr>
            <w:tcW w:type="dxa" w:w="2880"/>
          </w:tcPr>
          <w:p>
            <w:r>
              <w:t>All consumer products</w:t>
            </w:r>
          </w:p>
        </w:tc>
        <w:tc>
          <w:tcPr>
            <w:tcW w:type="dxa" w:w="2880"/>
          </w:tcPr>
          <w:p>
            <w:r>
              <w:t>Rate change communications must be clear, conspicuous, and non-deceptive</w:t>
            </w:r>
          </w:p>
        </w:tc>
      </w:tr>
    </w:tbl>
    <w:p/>
    <w:p>
      <w:pPr>
        <w:pStyle w:val="Heading2"/>
      </w:pPr>
      <w:r>
        <w:t>10. Key Contacts &amp; Escalation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 to Escalate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Product Manager (per category)</w:t>
            </w:r>
          </w:p>
        </w:tc>
        <w:tc>
          <w:tcPr>
            <w:tcW w:type="dxa" w:w="2160"/>
          </w:tcPr>
          <w:p>
            <w:r>
              <w:t>See Section 3</w:t>
            </w:r>
          </w:p>
        </w:tc>
        <w:tc>
          <w:tcPr>
            <w:tcW w:type="dxa" w:w="2160"/>
          </w:tcPr>
          <w:p>
            <w:r>
              <w:t>Rate sheet errors, dealer/branch questions, client inquiries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Pricing &amp; Analytics Team</w:t>
            </w:r>
          </w:p>
        </w:tc>
        <w:tc>
          <w:tcPr>
            <w:tcW w:type="dxa" w:w="2160"/>
          </w:tcPr>
          <w:p>
            <w:r>
              <w:t>pricing@bank.com</w:t>
            </w:r>
          </w:p>
        </w:tc>
        <w:tc>
          <w:tcPr>
            <w:tcW w:type="dxa" w:w="2160"/>
          </w:tcPr>
          <w:p>
            <w:r>
              <w:t>Rate calculation disputes, model questions, tier eligibility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Compliance &amp; Legal</w:t>
            </w:r>
          </w:p>
        </w:tc>
        <w:tc>
          <w:tcPr>
            <w:tcW w:type="dxa" w:w="2160"/>
          </w:tcPr>
          <w:p>
            <w:r>
              <w:t>compliance@bank.com</w:t>
            </w:r>
          </w:p>
        </w:tc>
        <w:tc>
          <w:tcPr>
            <w:tcW w:type="dxa" w:w="2160"/>
          </w:tcPr>
          <w:p>
            <w:r>
              <w:t>Regulatory concerns, client disputes, documentation issues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Chief Lending Officer</w:t>
            </w:r>
          </w:p>
        </w:tc>
        <w:tc>
          <w:tcPr>
            <w:tcW w:type="dxa" w:w="2160"/>
          </w:tcPr>
          <w:p>
            <w:r>
              <w:t>r.harrington@bank.com | ext. 5001</w:t>
            </w:r>
          </w:p>
        </w:tc>
        <w:tc>
          <w:tcPr>
            <w:tcW w:type="dxa" w:w="2160"/>
          </w:tcPr>
          <w:p>
            <w:r>
              <w:t>Approval failures, ALCO disputes, emergency rate freeze</w:t>
            </w:r>
          </w:p>
        </w:tc>
      </w:tr>
      <w:tr>
        <w:tc>
          <w:tcPr>
            <w:tcW w:type="dxa" w:w="2160"/>
          </w:tcPr>
          <w:p>
            <w:r>
              <w:t>L5</w:t>
            </w:r>
          </w:p>
        </w:tc>
        <w:tc>
          <w:tcPr>
            <w:tcW w:type="dxa" w:w="2160"/>
          </w:tcPr>
          <w:p>
            <w:r>
              <w:t>Chief Risk Officer</w:t>
            </w:r>
          </w:p>
        </w:tc>
        <w:tc>
          <w:tcPr>
            <w:tcW w:type="dxa" w:w="2160"/>
          </w:tcPr>
          <w:p>
            <w:r>
              <w:t>cro@bank.com</w:t>
            </w:r>
          </w:p>
        </w:tc>
        <w:tc>
          <w:tcPr>
            <w:tcW w:type="dxa" w:w="2160"/>
          </w:tcPr>
          <w:p>
            <w:r>
              <w:t>Systemic risk concerns, large-scale repricing disputes</w:t>
            </w:r>
          </w:p>
        </w:tc>
      </w:tr>
      <w:tr>
        <w:tc>
          <w:tcPr>
            <w:tcW w:type="dxa" w:w="2160"/>
          </w:tcPr>
          <w:p>
            <w:r>
              <w:t>Emergency</w:t>
            </w:r>
          </w:p>
        </w:tc>
        <w:tc>
          <w:tcPr>
            <w:tcW w:type="dxa" w:w="2160"/>
          </w:tcPr>
          <w:p>
            <w:r>
              <w:t>IT On-Call (PagerDuty)</w:t>
            </w:r>
          </w:p>
        </w:tc>
        <w:tc>
          <w:tcPr>
            <w:tcW w:type="dxa" w:w="2160"/>
          </w:tcPr>
          <w:p>
            <w:r>
              <w:t>Via PagerDuty</w:t>
            </w:r>
          </w:p>
        </w:tc>
        <w:tc>
          <w:tcPr>
            <w:tcW w:type="dxa" w:w="2160"/>
          </w:tcPr>
          <w:p>
            <w:r>
              <w:t>Core system failures, incorrect rate application in production</w:t>
            </w:r>
          </w:p>
        </w:tc>
      </w:tr>
    </w:tbl>
    <w:p/>
    <w:p>
      <w:pPr>
        <w:pStyle w:val="Heading2"/>
      </w:pPr>
      <w:r>
        <w:t>11. Document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Mar 2022</w:t>
            </w:r>
          </w:p>
        </w:tc>
        <w:tc>
          <w:tcPr>
            <w:tcW w:type="dxa" w:w="2160"/>
          </w:tcPr>
          <w:p>
            <w:r>
              <w:t>R. Harrington</w:t>
            </w:r>
          </w:p>
        </w:tc>
        <w:tc>
          <w:tcPr>
            <w:tcW w:type="dxa" w:w="2160"/>
          </w:tcPr>
          <w:p>
            <w:r>
              <w:t>Initial version – Indirect Auto only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Sep 2023</w:t>
            </w:r>
          </w:p>
        </w:tc>
        <w:tc>
          <w:tcPr>
            <w:tcW w:type="dxa" w:w="2160"/>
          </w:tcPr>
          <w:p>
            <w:r>
              <w:t>A. Patel</w:t>
            </w:r>
          </w:p>
        </w:tc>
        <w:tc>
          <w:tcPr>
            <w:tcW w:type="dxa" w:w="2160"/>
          </w:tcPr>
          <w:p>
            <w:r>
              <w:t>Added Business Banking rate change process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Jan 2025</w:t>
            </w:r>
          </w:p>
        </w:tc>
        <w:tc>
          <w:tcPr>
            <w:tcW w:type="dxa" w:w="2160"/>
          </w:tcPr>
          <w:p>
            <w:r>
              <w:t>L. Cho</w:t>
            </w:r>
          </w:p>
        </w:tc>
        <w:tc>
          <w:tcPr>
            <w:tcW w:type="dxa" w:w="2160"/>
          </w:tcPr>
          <w:p>
            <w:r>
              <w:t>Added Direct Auto; restructured product-specific steps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Nov 2025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Added MLA and ECOA compliance table; updated usury guidance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Jun 2026</w:t>
            </w:r>
          </w:p>
        </w:tc>
        <w:tc>
          <w:tcPr>
            <w:tcW w:type="dxa" w:w="2160"/>
          </w:tcPr>
          <w:p>
            <w:r>
              <w:t>Pricing Team</w:t>
            </w:r>
          </w:p>
        </w:tc>
        <w:tc>
          <w:tcPr>
            <w:tcW w:type="dxa" w:w="2160"/>
          </w:tcPr>
          <w:p>
            <w:r>
              <w:t>Updated rate tables; added SOFR-indexed Business Banking products; added post-implementation verification step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