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Operating Procedure</w:t>
      </w:r>
    </w:p>
    <w:p>
      <w:pPr>
        <w:jc w:val="center"/>
      </w:pPr>
      <w:r>
        <w:rPr>
          <w:b/>
          <w:sz w:val="26"/>
        </w:rPr>
        <w:t>Loan Origination &amp; Underwriting Process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SOP-BANK-LO-012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01-June-2026</w:t>
            </w:r>
          </w:p>
        </w:tc>
      </w:tr>
      <w:tr>
        <w:tc>
          <w:tcPr>
            <w:tcW w:type="dxa" w:w="4320"/>
          </w:tcPr>
          <w:p>
            <w:r>
              <w:t>Review Date</w:t>
            </w:r>
          </w:p>
        </w:tc>
        <w:tc>
          <w:tcPr>
            <w:tcW w:type="dxa" w:w="4320"/>
          </w:tcPr>
          <w:p>
            <w:r>
              <w:t>01-June-2027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Chief Credit Officer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Retail &amp; Commercial Lending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Per loan application received</w:t>
            </w:r>
          </w:p>
        </w:tc>
      </w:tr>
      <w:tr>
        <w:tc>
          <w:tcPr>
            <w:tcW w:type="dxa" w:w="4320"/>
          </w:tcPr>
          <w:p>
            <w:r>
              <w:t>Applies To</w:t>
            </w:r>
          </w:p>
        </w:tc>
        <w:tc>
          <w:tcPr>
            <w:tcW w:type="dxa" w:w="4320"/>
          </w:tcPr>
          <w:p>
            <w:r>
              <w:t>Consumer Loans | Auto Loans | Business Loans | Mortgages</w:t>
            </w:r>
          </w:p>
        </w:tc>
      </w:tr>
    </w:tbl>
    <w:p/>
    <w:p>
      <w:pPr>
        <w:pStyle w:val="Heading2"/>
      </w:pPr>
      <w:r>
        <w:t>1. Purpose</w:t>
      </w:r>
    </w:p>
    <w:p>
      <w:r>
        <w:t>This SOP defines the end-to-end process for receiving, evaluating, approving, and disbursing loan applications. It ensures consistent credit decisions, regulatory compliance, and operational efficiency across all loan product types.</w:t>
      </w:r>
    </w:p>
    <w:p>
      <w:pPr>
        <w:pStyle w:val="Heading2"/>
      </w:pPr>
      <w:r>
        <w:t>2. Scope</w:t>
      </w:r>
    </w:p>
    <w:p>
      <w:pPr>
        <w:pStyle w:val="ListBullet"/>
      </w:pPr>
      <w:r>
        <w:t>Branch walk-in applications</w:t>
      </w:r>
    </w:p>
    <w:p>
      <w:pPr>
        <w:pStyle w:val="ListBullet"/>
      </w:pPr>
      <w:r>
        <w:t>Digital / online portal submissions</w:t>
      </w:r>
    </w:p>
    <w:p>
      <w:pPr>
        <w:pStyle w:val="ListBullet"/>
      </w:pPr>
      <w:r>
        <w:t>Dealer-submitted applications (Indirect Auto)</w:t>
      </w:r>
    </w:p>
    <w:p>
      <w:pPr>
        <w:pStyle w:val="ListBullet"/>
      </w:pPr>
      <w:r>
        <w:t>Broker-submitted commercial applications</w:t>
      </w:r>
    </w:p>
    <w:p>
      <w:pPr>
        <w:pStyle w:val="Heading2"/>
      </w:pPr>
      <w:r>
        <w:t>3.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Contact</w:t>
            </w:r>
          </w:p>
        </w:tc>
      </w:tr>
      <w:tr>
        <w:tc>
          <w:tcPr>
            <w:tcW w:type="dxa" w:w="2880"/>
          </w:tcPr>
          <w:p>
            <w:r>
              <w:t>Loan Officer (LO)</w:t>
            </w:r>
          </w:p>
        </w:tc>
        <w:tc>
          <w:tcPr>
            <w:tcW w:type="dxa" w:w="2880"/>
          </w:tcPr>
          <w:p>
            <w:r>
              <w:t>Collects application, verifies documents, submits to underwriting</w:t>
            </w:r>
          </w:p>
        </w:tc>
        <w:tc>
          <w:tcPr>
            <w:tcW w:type="dxa" w:w="2880"/>
          </w:tcPr>
          <w:p>
            <w:r>
              <w:t>lo-team@bank.com</w:t>
            </w:r>
          </w:p>
        </w:tc>
      </w:tr>
      <w:tr>
        <w:tc>
          <w:tcPr>
            <w:tcW w:type="dxa" w:w="2880"/>
          </w:tcPr>
          <w:p>
            <w:r>
              <w:t>Underwriter (L1)</w:t>
            </w:r>
          </w:p>
        </w:tc>
        <w:tc>
          <w:tcPr>
            <w:tcW w:type="dxa" w:w="2880"/>
          </w:tcPr>
          <w:p>
            <w:r>
              <w:t>Reviews creditworthiness, runs models, issues preliminary decision</w:t>
            </w:r>
          </w:p>
        </w:tc>
        <w:tc>
          <w:tcPr>
            <w:tcW w:type="dxa" w:w="2880"/>
          </w:tcPr>
          <w:p>
            <w:r>
              <w:t>underwriting@bank.com</w:t>
            </w:r>
          </w:p>
        </w:tc>
      </w:tr>
      <w:tr>
        <w:tc>
          <w:tcPr>
            <w:tcW w:type="dxa" w:w="2880"/>
          </w:tcPr>
          <w:p>
            <w:r>
              <w:t>Senior Underwriter (L2)</w:t>
            </w:r>
          </w:p>
        </w:tc>
        <w:tc>
          <w:tcPr>
            <w:tcW w:type="dxa" w:w="2880"/>
          </w:tcPr>
          <w:p>
            <w:r>
              <w:t>Handles exceptions, large loans, and complex cases</w:t>
            </w:r>
          </w:p>
        </w:tc>
        <w:tc>
          <w:tcPr>
            <w:tcW w:type="dxa" w:w="2880"/>
          </w:tcPr>
          <w:p>
            <w:r>
              <w:t>sr.underwriting@bank.com</w:t>
            </w:r>
          </w:p>
        </w:tc>
      </w:tr>
      <w:tr>
        <w:tc>
          <w:tcPr>
            <w:tcW w:type="dxa" w:w="2880"/>
          </w:tcPr>
          <w:p>
            <w:r>
              <w:t>Credit Committee</w:t>
            </w:r>
          </w:p>
        </w:tc>
        <w:tc>
          <w:tcPr>
            <w:tcW w:type="dxa" w:w="2880"/>
          </w:tcPr>
          <w:p>
            <w:r>
              <w:t>Approves loans above $500,000 or with exception requests</w:t>
            </w:r>
          </w:p>
        </w:tc>
        <w:tc>
          <w:tcPr>
            <w:tcW w:type="dxa" w:w="2880"/>
          </w:tcPr>
          <w:p>
            <w:r>
              <w:t>creditcommittee@bank.com</w:t>
            </w:r>
          </w:p>
        </w:tc>
      </w:tr>
      <w:tr>
        <w:tc>
          <w:tcPr>
            <w:tcW w:type="dxa" w:w="2880"/>
          </w:tcPr>
          <w:p>
            <w:r>
              <w:t>Loan Processor</w:t>
            </w:r>
          </w:p>
        </w:tc>
        <w:tc>
          <w:tcPr>
            <w:tcW w:type="dxa" w:w="2880"/>
          </w:tcPr>
          <w:p>
            <w:r>
              <w:t>Prepares closing documents, schedules disbursement</w:t>
            </w:r>
          </w:p>
        </w:tc>
        <w:tc>
          <w:tcPr>
            <w:tcW w:type="dxa" w:w="2880"/>
          </w:tcPr>
          <w:p>
            <w:r>
              <w:t>loanops@bank.com</w:t>
            </w:r>
          </w:p>
        </w:tc>
      </w:tr>
      <w:tr>
        <w:tc>
          <w:tcPr>
            <w:tcW w:type="dxa" w:w="2880"/>
          </w:tcPr>
          <w:p>
            <w:r>
              <w:t>Compliance Officer</w:t>
            </w:r>
          </w:p>
        </w:tc>
        <w:tc>
          <w:tcPr>
            <w:tcW w:type="dxa" w:w="2880"/>
          </w:tcPr>
          <w:p>
            <w:r>
              <w:t>Reviews for ECOA, HMDA, fair lending compliance</w:t>
            </w:r>
          </w:p>
        </w:tc>
        <w:tc>
          <w:tcPr>
            <w:tcW w:type="dxa" w:w="2880"/>
          </w:tcPr>
          <w:p>
            <w:r>
              <w:t>compliance@bank.com</w:t>
            </w:r>
          </w:p>
        </w:tc>
      </w:tr>
      <w:tr>
        <w:tc>
          <w:tcPr>
            <w:tcW w:type="dxa" w:w="2880"/>
          </w:tcPr>
          <w:p>
            <w:r>
              <w:t>Chief Credit Officer</w:t>
            </w:r>
          </w:p>
        </w:tc>
        <w:tc>
          <w:tcPr>
            <w:tcW w:type="dxa" w:w="2880"/>
          </w:tcPr>
          <w:p>
            <w:r>
              <w:t>Final escalation authority; approves policy exceptions</w:t>
            </w:r>
          </w:p>
        </w:tc>
        <w:tc>
          <w:tcPr>
            <w:tcW w:type="dxa" w:w="2880"/>
          </w:tcPr>
          <w:p>
            <w:r>
              <w:t>cco@bank.com</w:t>
            </w:r>
          </w:p>
        </w:tc>
      </w:tr>
    </w:tbl>
    <w:p/>
    <w:p>
      <w:pPr>
        <w:pStyle w:val="Heading2"/>
      </w:pPr>
      <w:r>
        <w:t>4. Step-by-Step Process</w:t>
      </w:r>
    </w:p>
    <w:p>
      <w:pPr>
        <w:pStyle w:val="Heading3"/>
      </w:pPr>
      <w:r>
        <w:t>Step 1 – Application Receipt &amp; Initial Review</w:t>
      </w:r>
    </w:p>
    <w:p>
      <w:pPr>
        <w:pStyle w:val="ListNumber"/>
      </w:pPr>
      <w:r>
        <w:t>Loan Officer (LO) collects completed application form with all required documents.</w:t>
      </w:r>
    </w:p>
    <w:p>
      <w:pPr>
        <w:pStyle w:val="ListNumber"/>
      </w:pPr>
      <w:r>
        <w:t>Required documents: Government ID, last 2 pay stubs, last 2 years tax returns (business loans), bank statements (3 months), collateral details (if secured).</w:t>
      </w:r>
    </w:p>
    <w:p>
      <w:pPr>
        <w:pStyle w:val="ListNumber"/>
      </w:pPr>
      <w:r>
        <w:t>LO logs application in Loan Origination System (LOS) — Encompass or nCino — within 2 hours of receipt.</w:t>
      </w:r>
    </w:p>
    <w:p>
      <w:pPr>
        <w:pStyle w:val="ListNumber"/>
      </w:pPr>
      <w:r>
        <w:t>System auto-generates Application ID (e.g., APP-2026-08821).</w:t>
      </w:r>
    </w:p>
    <w:p>
      <w:pPr>
        <w:pStyle w:val="ListNumber"/>
      </w:pPr>
      <w:r>
        <w:t>Send acknowledgement to applicant within 24 hours with Application ID and expected decision timeline.</w:t>
      </w:r>
    </w:p>
    <w:p>
      <w:pPr>
        <w:pStyle w:val="ListNumber"/>
      </w:pPr>
      <w:r>
        <w:t>If documents are incomplete: send Document Deficiency Notice within 1 business day. Application goes on hold.</w:t>
      </w:r>
    </w:p>
    <w:p>
      <w:pPr>
        <w:pStyle w:val="Heading3"/>
      </w:pPr>
      <w:r>
        <w:t>Step 2 – Credit Pull &amp; Preliminary Screening</w:t>
      </w:r>
    </w:p>
    <w:p>
      <w:pPr>
        <w:pStyle w:val="ListNumber"/>
      </w:pPr>
      <w:r>
        <w:t>LO pulls credit report from all three bureaus (Equifax, Experian, TransUnion) via LOS.</w:t>
      </w:r>
    </w:p>
    <w:p>
      <w:pPr>
        <w:pStyle w:val="ListNumber"/>
      </w:pPr>
      <w:r>
        <w:t>System auto-screens for: minimum FICO score, debt-to-income ratio (DTI), existing delinquencies.</w:t>
      </w:r>
    </w:p>
    <w:p>
      <w:pPr>
        <w:pStyle w:val="ListNumber"/>
      </w:pPr>
      <w:r>
        <w:t>Auto-decline triggers: FICO &lt; 580, DTI &gt; 55%, active bankruptcy, fraud alert on file.</w:t>
      </w:r>
    </w:p>
    <w:p>
      <w:pPr>
        <w:pStyle w:val="ListNumber"/>
      </w:pPr>
      <w:r>
        <w:t>If auto-decline: generate Adverse Action Notice (AAN) within 30 days per Reg B. Send to applicant.</w:t>
      </w:r>
    </w:p>
    <w:p>
      <w:pPr>
        <w:pStyle w:val="ListNumber"/>
      </w:pPr>
      <w:r>
        <w:t>If passes screening: assign to underwriting queue. SLA: underwriter picks up within 4 business hours.</w:t>
      </w:r>
    </w:p>
    <w:p>
      <w:pPr>
        <w:pStyle w:val="Heading3"/>
      </w:pPr>
      <w:r>
        <w:t>Step 3 – Underwriting &amp; Credit Decision</w:t>
      </w:r>
    </w:p>
    <w:p>
      <w:pPr>
        <w:pStyle w:val="ListNumber"/>
      </w:pPr>
      <w:r>
        <w:t>Underwriter reviews full file: credit report, income verification, collateral appraisal (if applicable).</w:t>
      </w:r>
    </w:p>
    <w:p>
      <w:pPr>
        <w:pStyle w:val="ListNumber"/>
      </w:pPr>
      <w:r>
        <w:t>Run debt service coverage ratio (DSCR) for business loans — minimum 1.25x required.</w:t>
      </w:r>
    </w:p>
    <w:p>
      <w:pPr>
        <w:pStyle w:val="ListNumber"/>
      </w:pPr>
      <w:r>
        <w:t>Check LTV: max 80% for real estate, 90% for auto loans with PMI.</w:t>
      </w:r>
    </w:p>
    <w:p>
      <w:pPr>
        <w:pStyle w:val="ListNumber"/>
      </w:pPr>
      <w:r>
        <w:t>Document findings in underwriting memo in LOS.</w:t>
      </w:r>
    </w:p>
    <w:p>
      <w:pPr>
        <w:pStyle w:val="ListNumber"/>
      </w:pPr>
      <w:r>
        <w:t>Issue one of three decisions: APPROVE / CONDITIONAL APPROVE / DECLINE.</w:t>
      </w:r>
    </w:p>
    <w:p>
      <w:pPr>
        <w:pStyle w:val="ListNumber"/>
      </w:pPr>
      <w:r>
        <w:t>Decision SLA: 2 business days for consumer loans; 5 business days for business loans.</w:t>
      </w:r>
    </w:p>
    <w:p>
      <w:pPr>
        <w:pStyle w:val="Heading3"/>
      </w:pPr>
      <w:r>
        <w:t>Step 4 – Approval &amp; Loan Committee Review</w:t>
      </w:r>
    </w:p>
    <w:p>
      <w:pPr>
        <w:pStyle w:val="ListNumber"/>
      </w:pPr>
      <w:r>
        <w:t>Loans above $500,000 must go to Credit Committee — submit file at least 2 business days before meeting.</w:t>
      </w:r>
    </w:p>
    <w:p>
      <w:pPr>
        <w:pStyle w:val="ListNumber"/>
      </w:pPr>
      <w:r>
        <w:t>Credit Committee meets every Tuesday and Thursday at 10:00 AM.</w:t>
      </w:r>
    </w:p>
    <w:p>
      <w:pPr>
        <w:pStyle w:val="ListNumber"/>
      </w:pPr>
      <w:r>
        <w:t>Committee decision documented in minutes and uploaded to LOS within 24 hours.</w:t>
      </w:r>
    </w:p>
    <w:p>
      <w:pPr>
        <w:pStyle w:val="ListNumber"/>
      </w:pPr>
      <w:r>
        <w:t>Policy exceptions require Credit Committee + CCO sign-off.</w:t>
      </w:r>
    </w:p>
    <w:p>
      <w:pPr>
        <w:pStyle w:val="Heading3"/>
      </w:pPr>
      <w:r>
        <w:t>Step 5 – Loan Closing &amp; Disbursement</w:t>
      </w:r>
    </w:p>
    <w:p>
      <w:pPr>
        <w:pStyle w:val="ListNumber"/>
      </w:pPr>
      <w:r>
        <w:t>Loan Processor prepares closing package: promissory note, security agreement, disclosure forms.</w:t>
      </w:r>
    </w:p>
    <w:p>
      <w:pPr>
        <w:pStyle w:val="ListNumber"/>
      </w:pPr>
      <w:r>
        <w:t>Schedule closing appointment with applicant — in branch or via e-sign platform.</w:t>
      </w:r>
    </w:p>
    <w:p>
      <w:pPr>
        <w:pStyle w:val="ListNumber"/>
      </w:pPr>
      <w:r>
        <w:t>All closing documents reviewed by Compliance for TRID, RESPA, or Reg Z compliance.</w:t>
      </w:r>
    </w:p>
    <w:p>
      <w:pPr>
        <w:pStyle w:val="ListNumber"/>
      </w:pPr>
      <w:r>
        <w:t>Disbursement authorized only after: all documents signed, conditions cleared, compliance sign-off received.</w:t>
      </w:r>
    </w:p>
    <w:p>
      <w:pPr>
        <w:pStyle w:val="ListNumber"/>
      </w:pPr>
      <w:r>
        <w:t>Funds disbursed via ACH (consumer) or wire transfer (business) within 1 business day of closing.</w:t>
      </w:r>
    </w:p>
    <w:p>
      <w:pPr>
        <w:pStyle w:val="ListNumber"/>
      </w:pPr>
      <w:r>
        <w:t>Loan boarded in core banking system (FiServ/Jack Henry) by Loan Processor same day.</w:t>
      </w:r>
    </w:p>
    <w:p>
      <w:pPr>
        <w:pStyle w:val="Heading2"/>
      </w:pPr>
      <w:r>
        <w:t>5. What To Do If Stuck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Applicant disputes auto-decline</w:t>
            </w:r>
          </w:p>
        </w:tc>
        <w:tc>
          <w:tcPr>
            <w:tcW w:type="dxa" w:w="4320"/>
          </w:tcPr>
          <w:p>
            <w:r>
              <w:t>Review credit report for errors; advise applicant to dispute with bureau; do not override without Sr. Underwriter approval</w:t>
            </w:r>
          </w:p>
        </w:tc>
      </w:tr>
      <w:tr>
        <w:tc>
          <w:tcPr>
            <w:tcW w:type="dxa" w:w="4320"/>
          </w:tcPr>
          <w:p>
            <w:r>
              <w:t>Collateral appraisal lower than expected</w:t>
            </w:r>
          </w:p>
        </w:tc>
        <w:tc>
          <w:tcPr>
            <w:tcW w:type="dxa" w:w="4320"/>
          </w:tcPr>
          <w:p>
            <w:r>
              <w:t>Order second appraisal; if still low, reduce loan amount or require additional collateral</w:t>
            </w:r>
          </w:p>
        </w:tc>
      </w:tr>
      <w:tr>
        <w:tc>
          <w:tcPr>
            <w:tcW w:type="dxa" w:w="4320"/>
          </w:tcPr>
          <w:p>
            <w:r>
              <w:t>Applicant cannot provide tax returns</w:t>
            </w:r>
          </w:p>
        </w:tc>
        <w:tc>
          <w:tcPr>
            <w:tcW w:type="dxa" w:w="4320"/>
          </w:tcPr>
          <w:p>
            <w:r>
              <w:t>Accept CPA-prepared P&amp;L for &lt;2yr businesses; escalate exception to Sr. Underwriter</w:t>
            </w:r>
          </w:p>
        </w:tc>
      </w:tr>
      <w:tr>
        <w:tc>
          <w:tcPr>
            <w:tcW w:type="dxa" w:w="4320"/>
          </w:tcPr>
          <w:p>
            <w:r>
              <w:t>Disbursement delayed by IT issue</w:t>
            </w:r>
          </w:p>
        </w:tc>
        <w:tc>
          <w:tcPr>
            <w:tcW w:type="dxa" w:w="4320"/>
          </w:tcPr>
          <w:p>
            <w:r>
              <w:t>Contact loanops@bank.com; notify applicant; document delay in LOS</w:t>
            </w:r>
          </w:p>
        </w:tc>
      </w:tr>
      <w:tr>
        <w:tc>
          <w:tcPr>
            <w:tcW w:type="dxa" w:w="4320"/>
          </w:tcPr>
          <w:p>
            <w:r>
              <w:t>Fraud indicators found during review</w:t>
            </w:r>
          </w:p>
        </w:tc>
        <w:tc>
          <w:tcPr>
            <w:tcW w:type="dxa" w:w="4320"/>
          </w:tcPr>
          <w:p>
            <w:r>
              <w:t>Immediately suspend application; notify fraud@bank.com; do not inform applicant</w:t>
            </w:r>
          </w:p>
        </w:tc>
      </w:tr>
      <w:tr>
        <w:tc>
          <w:tcPr>
            <w:tcW w:type="dxa" w:w="4320"/>
          </w:tcPr>
          <w:p>
            <w:r>
              <w:t>Application exceeds $500K threshold</w:t>
            </w:r>
          </w:p>
        </w:tc>
        <w:tc>
          <w:tcPr>
            <w:tcW w:type="dxa" w:w="4320"/>
          </w:tcPr>
          <w:p>
            <w:r>
              <w:t>Route to Credit Committee; do not approve at underwriter level</w:t>
            </w:r>
          </w:p>
        </w:tc>
      </w:tr>
    </w:tbl>
    <w:p/>
    <w:p>
      <w:pPr>
        <w:pStyle w:val="Heading2"/>
      </w:pPr>
      <w:r>
        <w:t>6. Key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Phone</w:t>
            </w:r>
          </w:p>
        </w:tc>
      </w:tr>
      <w:tr>
        <w:tc>
          <w:tcPr>
            <w:tcW w:type="dxa" w:w="2880"/>
          </w:tcPr>
          <w:p>
            <w:r>
              <w:t>Loan Operations</w:t>
            </w:r>
          </w:p>
        </w:tc>
        <w:tc>
          <w:tcPr>
            <w:tcW w:type="dxa" w:w="2880"/>
          </w:tcPr>
          <w:p>
            <w:r>
              <w:t>loanops@bank.com</w:t>
            </w:r>
          </w:p>
        </w:tc>
        <w:tc>
          <w:tcPr>
            <w:tcW w:type="dxa" w:w="2880"/>
          </w:tcPr>
          <w:p>
            <w:r>
              <w:t>+1-800-555-0201</w:t>
            </w:r>
          </w:p>
        </w:tc>
      </w:tr>
      <w:tr>
        <w:tc>
          <w:tcPr>
            <w:tcW w:type="dxa" w:w="2880"/>
          </w:tcPr>
          <w:p>
            <w:r>
              <w:t>Underwriting</w:t>
            </w:r>
          </w:p>
        </w:tc>
        <w:tc>
          <w:tcPr>
            <w:tcW w:type="dxa" w:w="2880"/>
          </w:tcPr>
          <w:p>
            <w:r>
              <w:t>underwriting@bank.com</w:t>
            </w:r>
          </w:p>
        </w:tc>
        <w:tc>
          <w:tcPr>
            <w:tcW w:type="dxa" w:w="2880"/>
          </w:tcPr>
          <w:p>
            <w:r>
              <w:t>+1-800-555-0202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compliance@bank.com</w:t>
            </w:r>
          </w:p>
        </w:tc>
        <w:tc>
          <w:tcPr>
            <w:tcW w:type="dxa" w:w="2880"/>
          </w:tcPr>
          <w:p>
            <w:r>
              <w:t>+1-800-555-0199</w:t>
            </w:r>
          </w:p>
        </w:tc>
      </w:tr>
      <w:tr>
        <w:tc>
          <w:tcPr>
            <w:tcW w:type="dxa" w:w="2880"/>
          </w:tcPr>
          <w:p>
            <w:r>
              <w:t>Fraud Team</w:t>
            </w:r>
          </w:p>
        </w:tc>
        <w:tc>
          <w:tcPr>
            <w:tcW w:type="dxa" w:w="2880"/>
          </w:tcPr>
          <w:p>
            <w:r>
              <w:t>fraud@bank.com</w:t>
            </w:r>
          </w:p>
        </w:tc>
        <w:tc>
          <w:tcPr>
            <w:tcW w:type="dxa" w:w="2880"/>
          </w:tcPr>
          <w:p>
            <w:r>
              <w:t>+1-800-555-0188</w:t>
            </w:r>
          </w:p>
        </w:tc>
      </w:tr>
      <w:tr>
        <w:tc>
          <w:tcPr>
            <w:tcW w:type="dxa" w:w="2880"/>
          </w:tcPr>
          <w:p>
            <w:r>
              <w:t>Chief Credit Officer</w:t>
            </w:r>
          </w:p>
        </w:tc>
        <w:tc>
          <w:tcPr>
            <w:tcW w:type="dxa" w:w="2880"/>
          </w:tcPr>
          <w:p>
            <w:r>
              <w:t>cco@bank.com</w:t>
            </w:r>
          </w:p>
        </w:tc>
        <w:tc>
          <w:tcPr>
            <w:tcW w:type="dxa" w:w="2880"/>
          </w:tcPr>
          <w:p>
            <w:r>
              <w:t>+1-800-555-0210</w:t>
            </w:r>
          </w:p>
        </w:tc>
      </w:tr>
    </w:tbl>
    <w:p/>
    <w:p>
      <w:pPr>
        <w:pStyle w:val="Heading2"/>
      </w:pPr>
      <w:r>
        <w:t>7.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Jan 2023</w:t>
            </w:r>
          </w:p>
        </w:tc>
        <w:tc>
          <w:tcPr>
            <w:tcW w:type="dxa" w:w="2160"/>
          </w:tcPr>
          <w:p>
            <w:r>
              <w:t>CCO Office</w:t>
            </w:r>
          </w:p>
        </w:tc>
        <w:tc>
          <w:tcPr>
            <w:tcW w:type="dxa" w:w="2160"/>
          </w:tcPr>
          <w:p>
            <w:r>
              <w:t>Initial version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Aug 2024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Added TRID and RESPA requirements; updated DTI thresholds</w:t>
            </w:r>
          </w:p>
        </w:tc>
      </w:tr>
      <w:tr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Jun 2026</w:t>
            </w:r>
          </w:p>
        </w:tc>
        <w:tc>
          <w:tcPr>
            <w:tcW w:type="dxa" w:w="2160"/>
          </w:tcPr>
          <w:p>
            <w:r>
              <w:t>Underwriting</w:t>
            </w:r>
          </w:p>
        </w:tc>
        <w:tc>
          <w:tcPr>
            <w:tcW w:type="dxa" w:w="2160"/>
          </w:tcPr>
          <w:p>
            <w:r>
              <w:t>Added nCino LOS steps; updated Credit Committee thresholds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