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jc w:val="center"/>
      </w:pPr>
      <w:r>
        <w:rPr>
          <w:b/>
          <w:sz w:val="26"/>
        </w:rPr>
        <w:t>Know Your Customer (KYC) &amp; Anti-Money Laundering (AML) Compliance</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Document ID</w:t>
            </w:r>
          </w:p>
        </w:tc>
        <w:tc>
          <w:tcPr>
            <w:tcW w:type="dxa" w:w="4320"/>
          </w:tcPr>
          <w:p>
            <w:r>
              <w:t>SOP-BANK-AML-003</w:t>
            </w:r>
          </w:p>
        </w:tc>
      </w:tr>
      <w:tr>
        <w:tc>
          <w:tcPr>
            <w:tcW w:type="dxa" w:w="4320"/>
          </w:tcPr>
          <w:p>
            <w:r>
              <w:t>Version</w:t>
            </w:r>
          </w:p>
        </w:tc>
        <w:tc>
          <w:tcPr>
            <w:tcW w:type="dxa" w:w="4320"/>
          </w:tcPr>
          <w:p>
            <w:r>
              <w:t>4.0</w:t>
            </w:r>
          </w:p>
        </w:tc>
      </w:tr>
      <w:tr>
        <w:tc>
          <w:tcPr>
            <w:tcW w:type="dxa" w:w="4320"/>
          </w:tcPr>
          <w:p>
            <w:r>
              <w:t>Effective Date</w:t>
            </w:r>
          </w:p>
        </w:tc>
        <w:tc>
          <w:tcPr>
            <w:tcW w:type="dxa" w:w="4320"/>
          </w:tcPr>
          <w:p>
            <w:r>
              <w:t>01-June-2026</w:t>
            </w:r>
          </w:p>
        </w:tc>
      </w:tr>
      <w:tr>
        <w:tc>
          <w:tcPr>
            <w:tcW w:type="dxa" w:w="4320"/>
          </w:tcPr>
          <w:p>
            <w:r>
              <w:t>Review Date</w:t>
            </w:r>
          </w:p>
        </w:tc>
        <w:tc>
          <w:tcPr>
            <w:tcW w:type="dxa" w:w="4320"/>
          </w:tcPr>
          <w:p>
            <w:r>
              <w:t>01-June-2027</w:t>
            </w:r>
          </w:p>
        </w:tc>
      </w:tr>
      <w:tr>
        <w:tc>
          <w:tcPr>
            <w:tcW w:type="dxa" w:w="4320"/>
          </w:tcPr>
          <w:p>
            <w:r>
              <w:t>Owner</w:t>
            </w:r>
          </w:p>
        </w:tc>
        <w:tc>
          <w:tcPr>
            <w:tcW w:type="dxa" w:w="4320"/>
          </w:tcPr>
          <w:p>
            <w:r>
              <w:t>Chief Compliance Officer (CCO)</w:t>
            </w:r>
          </w:p>
        </w:tc>
      </w:tr>
      <w:tr>
        <w:tc>
          <w:tcPr>
            <w:tcW w:type="dxa" w:w="4320"/>
          </w:tcPr>
          <w:p>
            <w:r>
              <w:t>Department</w:t>
            </w:r>
          </w:p>
        </w:tc>
        <w:tc>
          <w:tcPr>
            <w:tcW w:type="dxa" w:w="4320"/>
          </w:tcPr>
          <w:p>
            <w:r>
              <w:t>Compliance &amp; Risk</w:t>
            </w:r>
          </w:p>
        </w:tc>
      </w:tr>
      <w:tr>
        <w:tc>
          <w:tcPr>
            <w:tcW w:type="dxa" w:w="4320"/>
          </w:tcPr>
          <w:p>
            <w:r>
              <w:t>Frequency</w:t>
            </w:r>
          </w:p>
        </w:tc>
        <w:tc>
          <w:tcPr>
            <w:tcW w:type="dxa" w:w="4320"/>
          </w:tcPr>
          <w:p>
            <w:r>
              <w:t>At onboarding + periodic reviews + triggered by alerts</w:t>
            </w:r>
          </w:p>
        </w:tc>
      </w:tr>
      <w:tr>
        <w:tc>
          <w:tcPr>
            <w:tcW w:type="dxa" w:w="4320"/>
          </w:tcPr>
          <w:p>
            <w:r>
              <w:t>Applies To</w:t>
            </w:r>
          </w:p>
        </w:tc>
        <w:tc>
          <w:tcPr>
            <w:tcW w:type="dxa" w:w="4320"/>
          </w:tcPr>
          <w:p>
            <w:r>
              <w:t>All customer types: Retail | Business | High-Net-Worth | Foreign Nationals</w:t>
            </w:r>
          </w:p>
        </w:tc>
      </w:tr>
    </w:tbl>
    <w:p/>
    <w:p>
      <w:pPr>
        <w:pStyle w:val="Heading2"/>
      </w:pPr>
      <w:r>
        <w:t>1. Purpose</w:t>
      </w:r>
    </w:p>
    <w:p>
      <w:r>
        <w:t>This SOP defines the bank's KYC and AML procedures including customer identification, due diligence, enhanced due diligence, transaction monitoring, suspicious activity reporting, and customer risk rating. It ensures compliance with the Bank Secrecy Act (BSA), FinCEN requirements, USA PATRIOT Act, and FATF guidelines.</w:t>
      </w:r>
    </w:p>
    <w:p>
      <w:pPr>
        <w:pStyle w:val="Heading2"/>
      </w:pPr>
      <w:r>
        <w:t>2. Customer Risk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 Tier</w:t>
            </w:r>
          </w:p>
        </w:tc>
        <w:tc>
          <w:tcPr>
            <w:tcW w:type="dxa" w:w="2160"/>
          </w:tcPr>
          <w:p>
            <w:r>
              <w:rPr>
                <w:b/>
              </w:rPr>
              <w:t>Customer Profile</w:t>
            </w:r>
          </w:p>
        </w:tc>
        <w:tc>
          <w:tcPr>
            <w:tcW w:type="dxa" w:w="2160"/>
          </w:tcPr>
          <w:p>
            <w:r>
              <w:rPr>
                <w:b/>
              </w:rPr>
              <w:t>KYC Review Frequency</w:t>
            </w:r>
          </w:p>
        </w:tc>
        <w:tc>
          <w:tcPr>
            <w:tcW w:type="dxa" w:w="2160"/>
          </w:tcPr>
          <w:p>
            <w:r>
              <w:rPr>
                <w:b/>
              </w:rPr>
              <w:t>EDD Required?</w:t>
            </w:r>
          </w:p>
        </w:tc>
      </w:tr>
      <w:tr>
        <w:tc>
          <w:tcPr>
            <w:tcW w:type="dxa" w:w="2160"/>
          </w:tcPr>
          <w:p>
            <w:r>
              <w:t>Tier 1 – Low Risk</w:t>
            </w:r>
          </w:p>
        </w:tc>
        <w:tc>
          <w:tcPr>
            <w:tcW w:type="dxa" w:w="2160"/>
          </w:tcPr>
          <w:p>
            <w:r>
              <w:t>Domestic retail customers, salaried employees, standard accounts</w:t>
            </w:r>
          </w:p>
        </w:tc>
        <w:tc>
          <w:tcPr>
            <w:tcW w:type="dxa" w:w="2160"/>
          </w:tcPr>
          <w:p>
            <w:r>
              <w:t>Every 3 years</w:t>
            </w:r>
          </w:p>
        </w:tc>
        <w:tc>
          <w:tcPr>
            <w:tcW w:type="dxa" w:w="2160"/>
          </w:tcPr>
          <w:p>
            <w:r>
              <w:t>No</w:t>
            </w:r>
          </w:p>
        </w:tc>
      </w:tr>
      <w:tr>
        <w:tc>
          <w:tcPr>
            <w:tcW w:type="dxa" w:w="2160"/>
          </w:tcPr>
          <w:p>
            <w:r>
              <w:t>Tier 2 – Medium Risk</w:t>
            </w:r>
          </w:p>
        </w:tc>
        <w:tc>
          <w:tcPr>
            <w:tcW w:type="dxa" w:w="2160"/>
          </w:tcPr>
          <w:p>
            <w:r>
              <w:t>Small businesses, sole proprietors, non-US residents</w:t>
            </w:r>
          </w:p>
        </w:tc>
        <w:tc>
          <w:tcPr>
            <w:tcW w:type="dxa" w:w="2160"/>
          </w:tcPr>
          <w:p>
            <w:r>
              <w:t>Every 2 years</w:t>
            </w:r>
          </w:p>
        </w:tc>
        <w:tc>
          <w:tcPr>
            <w:tcW w:type="dxa" w:w="2160"/>
          </w:tcPr>
          <w:p>
            <w:r>
              <w:t>Conditional</w:t>
            </w:r>
          </w:p>
        </w:tc>
      </w:tr>
      <w:tr>
        <w:tc>
          <w:tcPr>
            <w:tcW w:type="dxa" w:w="2160"/>
          </w:tcPr>
          <w:p>
            <w:r>
              <w:t>Tier 3 – High Risk</w:t>
            </w:r>
          </w:p>
        </w:tc>
        <w:tc>
          <w:tcPr>
            <w:tcW w:type="dxa" w:w="2160"/>
          </w:tcPr>
          <w:p>
            <w:r>
              <w:t>Cash-intensive businesses, foreign nationals, PEPs, high transaction volume</w:t>
            </w:r>
          </w:p>
        </w:tc>
        <w:tc>
          <w:tcPr>
            <w:tcW w:type="dxa" w:w="2160"/>
          </w:tcPr>
          <w:p>
            <w:r>
              <w:t>Every 1 year</w:t>
            </w:r>
          </w:p>
        </w:tc>
        <w:tc>
          <w:tcPr>
            <w:tcW w:type="dxa" w:w="2160"/>
          </w:tcPr>
          <w:p>
            <w:r>
              <w:t>Yes</w:t>
            </w:r>
          </w:p>
        </w:tc>
      </w:tr>
      <w:tr>
        <w:tc>
          <w:tcPr>
            <w:tcW w:type="dxa" w:w="2160"/>
          </w:tcPr>
          <w:p>
            <w:r>
              <w:t>Tier 4 – Prohibited</w:t>
            </w:r>
          </w:p>
        </w:tc>
        <w:tc>
          <w:tcPr>
            <w:tcW w:type="dxa" w:w="2160"/>
          </w:tcPr>
          <w:p>
            <w:r>
              <w:t>OFAC-sanctioned entities, known fraud/AML convictions</w:t>
            </w:r>
          </w:p>
        </w:tc>
        <w:tc>
          <w:tcPr>
            <w:tcW w:type="dxa" w:w="2160"/>
          </w:tcPr>
          <w:p>
            <w:r>
              <w:t>N/A – Decline</w:t>
            </w:r>
          </w:p>
        </w:tc>
        <w:tc>
          <w:tcPr>
            <w:tcW w:type="dxa" w:w="2160"/>
          </w:tcPr>
          <w:p>
            <w:r>
              <w:t>N/A – Decline</w:t>
            </w:r>
          </w:p>
        </w:tc>
      </w:tr>
    </w:tbl>
    <w:p/>
    <w:p>
      <w:pPr>
        <w:pStyle w:val="Heading2"/>
      </w:pPr>
      <w:r>
        <w:t>3. Roles &amp;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Responsibility</w:t>
            </w:r>
          </w:p>
        </w:tc>
        <w:tc>
          <w:tcPr>
            <w:tcW w:type="dxa" w:w="2880"/>
          </w:tcPr>
          <w:p>
            <w:r>
              <w:rPr>
                <w:b/>
              </w:rPr>
              <w:t>Contact</w:t>
            </w:r>
          </w:p>
        </w:tc>
      </w:tr>
      <w:tr>
        <w:tc>
          <w:tcPr>
            <w:tcW w:type="dxa" w:w="2880"/>
          </w:tcPr>
          <w:p>
            <w:r>
              <w:t>KYC Analyst</w:t>
            </w:r>
          </w:p>
        </w:tc>
        <w:tc>
          <w:tcPr>
            <w:tcW w:type="dxa" w:w="2880"/>
          </w:tcPr>
          <w:p>
            <w:r>
              <w:t>Collects and verifies customer identity documents at onboarding</w:t>
            </w:r>
          </w:p>
        </w:tc>
        <w:tc>
          <w:tcPr>
            <w:tcW w:type="dxa" w:w="2880"/>
          </w:tcPr>
          <w:p>
            <w:r>
              <w:t>kyc@bank.com</w:t>
            </w:r>
          </w:p>
        </w:tc>
      </w:tr>
      <w:tr>
        <w:tc>
          <w:tcPr>
            <w:tcW w:type="dxa" w:w="2880"/>
          </w:tcPr>
          <w:p>
            <w:r>
              <w:t>AML Investigator</w:t>
            </w:r>
          </w:p>
        </w:tc>
        <w:tc>
          <w:tcPr>
            <w:tcW w:type="dxa" w:w="2880"/>
          </w:tcPr>
          <w:p>
            <w:r>
              <w:t>Reviews transaction monitoring alerts; investigates suspicious activity</w:t>
            </w:r>
          </w:p>
        </w:tc>
        <w:tc>
          <w:tcPr>
            <w:tcW w:type="dxa" w:w="2880"/>
          </w:tcPr>
          <w:p>
            <w:r>
              <w:t>aml@bank.com</w:t>
            </w:r>
          </w:p>
        </w:tc>
      </w:tr>
      <w:tr>
        <w:tc>
          <w:tcPr>
            <w:tcW w:type="dxa" w:w="2880"/>
          </w:tcPr>
          <w:p>
            <w:r>
              <w:t>BSA Officer</w:t>
            </w:r>
          </w:p>
        </w:tc>
        <w:tc>
          <w:tcPr>
            <w:tcW w:type="dxa" w:w="2880"/>
          </w:tcPr>
          <w:p>
            <w:r>
              <w:t>Oversees SAR/CTR filing; primary FinCEN liaison</w:t>
            </w:r>
          </w:p>
        </w:tc>
        <w:tc>
          <w:tcPr>
            <w:tcW w:type="dxa" w:w="2880"/>
          </w:tcPr>
          <w:p>
            <w:r>
              <w:t>bsa@bank.com</w:t>
            </w:r>
          </w:p>
        </w:tc>
      </w:tr>
      <w:tr>
        <w:tc>
          <w:tcPr>
            <w:tcW w:type="dxa" w:w="2880"/>
          </w:tcPr>
          <w:p>
            <w:r>
              <w:t>Relationship Manager</w:t>
            </w:r>
          </w:p>
        </w:tc>
        <w:tc>
          <w:tcPr>
            <w:tcW w:type="dxa" w:w="2880"/>
          </w:tcPr>
          <w:p>
            <w:r>
              <w:t>Collects business documentation; assists with EDD interviews</w:t>
            </w:r>
          </w:p>
        </w:tc>
        <w:tc>
          <w:tcPr>
            <w:tcW w:type="dxa" w:w="2880"/>
          </w:tcPr>
          <w:p>
            <w:r>
              <w:t>rm@bank.com</w:t>
            </w:r>
          </w:p>
        </w:tc>
      </w:tr>
      <w:tr>
        <w:tc>
          <w:tcPr>
            <w:tcW w:type="dxa" w:w="2880"/>
          </w:tcPr>
          <w:p>
            <w:r>
              <w:t>Chief Compliance Officer</w:t>
            </w:r>
          </w:p>
        </w:tc>
        <w:tc>
          <w:tcPr>
            <w:tcW w:type="dxa" w:w="2880"/>
          </w:tcPr>
          <w:p>
            <w:r>
              <w:t>Final sign-off on SAR decisions; escalation authority</w:t>
            </w:r>
          </w:p>
        </w:tc>
        <w:tc>
          <w:tcPr>
            <w:tcW w:type="dxa" w:w="2880"/>
          </w:tcPr>
          <w:p>
            <w:r>
              <w:t>cco@bank.com</w:t>
            </w:r>
          </w:p>
        </w:tc>
      </w:tr>
      <w:tr>
        <w:tc>
          <w:tcPr>
            <w:tcW w:type="dxa" w:w="2880"/>
          </w:tcPr>
          <w:p>
            <w:r>
              <w:t>Legal</w:t>
            </w:r>
          </w:p>
        </w:tc>
        <w:tc>
          <w:tcPr>
            <w:tcW w:type="dxa" w:w="2880"/>
          </w:tcPr>
          <w:p>
            <w:r>
              <w:t>Reviews complex SAR cases; manages government requests</w:t>
            </w:r>
          </w:p>
        </w:tc>
        <w:tc>
          <w:tcPr>
            <w:tcW w:type="dxa" w:w="2880"/>
          </w:tcPr>
          <w:p>
            <w:r>
              <w:t>legal@bank.com</w:t>
            </w:r>
          </w:p>
        </w:tc>
      </w:tr>
    </w:tbl>
    <w:p/>
    <w:p>
      <w:pPr>
        <w:pStyle w:val="Heading2"/>
      </w:pPr>
      <w:r>
        <w:t>4. Step-by-Step Process</w:t>
      </w:r>
    </w:p>
    <w:p>
      <w:pPr>
        <w:pStyle w:val="Heading3"/>
      </w:pPr>
      <w:r>
        <w:t>Step 1 – Customer Identification Program (CIP)</w:t>
      </w:r>
    </w:p>
    <w:p>
      <w:pPr>
        <w:pStyle w:val="ListNumber"/>
      </w:pPr>
      <w:r>
        <w:t>Collect: Full legal name, Date of birth (individuals), Address, Tax ID (SSN/EIN/ITIN).</w:t>
      </w:r>
    </w:p>
    <w:p>
      <w:pPr>
        <w:pStyle w:val="ListNumber"/>
      </w:pPr>
      <w:r>
        <w:t>Verify identity using: Government-issued photo ID, SSN verification via Equifax/LexisNexis, Business registration documents (for entities).</w:t>
      </w:r>
    </w:p>
    <w:p>
      <w:pPr>
        <w:pStyle w:val="ListNumber"/>
      </w:pPr>
      <w:r>
        <w:t>For business accounts additionally collect: Articles of Incorporation, Beneficial Ownership form (all owners with &gt;25% stake), Operating Agreement.</w:t>
      </w:r>
    </w:p>
    <w:p>
      <w:pPr>
        <w:pStyle w:val="ListNumber"/>
      </w:pPr>
      <w:r>
        <w:t>Screen all names against OFAC SDN list, PEP database, and internal watchlist.</w:t>
      </w:r>
    </w:p>
    <w:p>
      <w:pPr>
        <w:pStyle w:val="ListNumber"/>
      </w:pPr>
      <w:r>
        <w:t>Document all CIP information in KYC system (Actimize) within 1 business day.</w:t>
      </w:r>
    </w:p>
    <w:p>
      <w:pPr>
        <w:pStyle w:val="ListNumber"/>
      </w:pPr>
      <w:r>
        <w:t>If identity cannot be verified within 5 business days: do not open account; notify customer.</w:t>
      </w:r>
    </w:p>
    <w:p>
      <w:pPr>
        <w:pStyle w:val="Heading3"/>
      </w:pPr>
      <w:r>
        <w:t>Step 2 – Risk Rating &amp; Due Diligence Level</w:t>
      </w:r>
    </w:p>
    <w:p>
      <w:pPr>
        <w:pStyle w:val="ListNumber"/>
      </w:pPr>
      <w:r>
        <w:t>Assign risk tier (1-4) based on: customer type, geography, business type, transaction profile.</w:t>
      </w:r>
    </w:p>
    <w:p>
      <w:pPr>
        <w:pStyle w:val="ListNumber"/>
      </w:pPr>
      <w:r>
        <w:t>Tier 1-2: Standard Due Diligence (SDD) — CIP documents sufficient.</w:t>
      </w:r>
    </w:p>
    <w:p>
      <w:pPr>
        <w:pStyle w:val="ListNumber"/>
      </w:pPr>
      <w:r>
        <w:t>Tier 3: Enhanced Due Diligence (EDD) required — see Step 3.</w:t>
      </w:r>
    </w:p>
    <w:p>
      <w:pPr>
        <w:pStyle w:val="ListNumber"/>
      </w:pPr>
      <w:r>
        <w:t>Tier 4: Decline customer; log reason in KYC system; notify CCO.</w:t>
      </w:r>
    </w:p>
    <w:p>
      <w:pPr>
        <w:pStyle w:val="Heading3"/>
      </w:pPr>
      <w:r>
        <w:t>Step 3 – Enhanced Due Diligence (EDD)</w:t>
      </w:r>
    </w:p>
    <w:p>
      <w:pPr>
        <w:pStyle w:val="ListNumber"/>
      </w:pPr>
      <w:r>
        <w:t>EDD triggers: PEP status, high-risk country, cash-intensive business, unusual account purpose.</w:t>
      </w:r>
    </w:p>
    <w:p>
      <w:pPr>
        <w:pStyle w:val="ListNumber"/>
      </w:pPr>
      <w:r>
        <w:t>EDD steps: In-person or video interview, source of wealth documentation, 3 months of bank statements, Senior VP approval before account opening.</w:t>
      </w:r>
    </w:p>
    <w:p>
      <w:pPr>
        <w:pStyle w:val="ListNumber"/>
      </w:pPr>
      <w:r>
        <w:t>EDD file reviewed by BSA Officer before account is approved.</w:t>
      </w:r>
    </w:p>
    <w:p>
      <w:pPr>
        <w:pStyle w:val="ListNumber"/>
      </w:pPr>
      <w:r>
        <w:t>EDD customers reviewed annually — schedule review 30 days before anniversary.</w:t>
      </w:r>
    </w:p>
    <w:p>
      <w:pPr>
        <w:pStyle w:val="Heading3"/>
      </w:pPr>
      <w:r>
        <w:t>Step 4 – Transaction Monitoring</w:t>
      </w:r>
    </w:p>
    <w:p>
      <w:pPr>
        <w:pStyle w:val="ListNumber"/>
      </w:pPr>
      <w:r>
        <w:t>Automated monitoring (Actimize) generates alerts for: structuring patterns (transactions just below $10,000), sudden spike in transaction volume, wire transfers to high-risk jurisdictions.</w:t>
      </w:r>
    </w:p>
    <w:p>
      <w:pPr>
        <w:pStyle w:val="ListNumber"/>
      </w:pPr>
      <w:r>
        <w:t>AML Investigator reviews alerts within 5 business days.</w:t>
      </w:r>
    </w:p>
    <w:p>
      <w:pPr>
        <w:pStyle w:val="ListNumber"/>
      </w:pPr>
      <w:r>
        <w:t>Alert outcomes: CLEARED (document reason), ESCALATED TO SAR REVIEW, or ACCOUNT RESTRICTION.</w:t>
      </w:r>
    </w:p>
    <w:p>
      <w:pPr>
        <w:pStyle w:val="ListNumber"/>
      </w:pPr>
      <w:r>
        <w:t>Accounts with 3+ cleared alerts in 90 days are auto-escalated for risk re-rating.</w:t>
      </w:r>
    </w:p>
    <w:p>
      <w:pPr>
        <w:pStyle w:val="Heading3"/>
      </w:pPr>
      <w:r>
        <w:t>Step 5 – Currency Transaction Report (CTR) Filing</w:t>
      </w:r>
    </w:p>
    <w:p>
      <w:pPr>
        <w:pStyle w:val="ListNumber"/>
      </w:pPr>
      <w:r>
        <w:t>CTR required for all cash transactions exceeding $10,000 in a single business day.</w:t>
      </w:r>
    </w:p>
    <w:p>
      <w:pPr>
        <w:pStyle w:val="ListNumber"/>
      </w:pPr>
      <w:r>
        <w:t>CTR must be filed with FinCEN within 15 calendar days of transaction.</w:t>
      </w:r>
    </w:p>
    <w:p>
      <w:pPr>
        <w:pStyle w:val="ListNumber"/>
      </w:pPr>
      <w:r>
        <w:t>BSA Officer reviews and submits via BSA E-Filing System.</w:t>
      </w:r>
    </w:p>
    <w:p>
      <w:pPr>
        <w:pStyle w:val="ListNumber"/>
      </w:pPr>
      <w:r>
        <w:t>Do NOT tip off the customer that a CTR is being filed.</w:t>
      </w:r>
    </w:p>
    <w:p>
      <w:pPr>
        <w:pStyle w:val="Heading3"/>
      </w:pPr>
      <w:r>
        <w:t>Step 6 – Suspicious Activity Report (SAR) Filing</w:t>
      </w:r>
    </w:p>
    <w:p>
      <w:pPr>
        <w:pStyle w:val="ListNumber"/>
      </w:pPr>
      <w:r>
        <w:t>SAR required when suspicious activity involves $5,000 or more.</w:t>
      </w:r>
    </w:p>
    <w:p>
      <w:pPr>
        <w:pStyle w:val="ListNumber"/>
      </w:pPr>
      <w:r>
        <w:t>SAR decision made jointly by AML Investigator and BSA Officer.</w:t>
      </w:r>
    </w:p>
    <w:p>
      <w:pPr>
        <w:pStyle w:val="ListNumber"/>
      </w:pPr>
      <w:r>
        <w:t>SAR must be filed within 30 days of initial detection (60 days if no suspect identified).</w:t>
      </w:r>
    </w:p>
    <w:p>
      <w:pPr>
        <w:pStyle w:val="ListNumber"/>
      </w:pPr>
      <w:r>
        <w:t>File via FinCEN BSA E-Filing System — retain copy for 5 years.</w:t>
      </w:r>
    </w:p>
    <w:p>
      <w:pPr>
        <w:pStyle w:val="ListNumber"/>
      </w:pPr>
      <w:r>
        <w:t>CRITICAL: Do NOT inform the customer or any third party that a SAR has been filed (tipping off is a federal crime).</w:t>
      </w:r>
    </w:p>
    <w:p>
      <w:pPr>
        <w:pStyle w:val="ListNumber"/>
      </w:pPr>
      <w:r>
        <w:t>Notify CCO and Legal of all SAR filings on same day as submission.</w:t>
      </w:r>
    </w:p>
    <w:p>
      <w:pPr>
        <w:pStyle w:val="Heading2"/>
      </w:pPr>
      <w:r>
        <w:t>5. What To Do If Stuck</w:t>
      </w:r>
    </w:p>
    <w:tbl>
      <w:tblPr>
        <w:tblStyle w:val="TableGrid"/>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Customer refuses Beneficial Ownership form</w:t>
            </w:r>
          </w:p>
        </w:tc>
        <w:tc>
          <w:tcPr>
            <w:tcW w:type="dxa" w:w="4320"/>
          </w:tcPr>
          <w:p>
            <w:r>
              <w:t>Cannot open business account without it; inform customer it is legally required under FinCEN rules</w:t>
            </w:r>
          </w:p>
        </w:tc>
      </w:tr>
      <w:tr>
        <w:tc>
          <w:tcPr>
            <w:tcW w:type="dxa" w:w="4320"/>
          </w:tcPr>
          <w:p>
            <w:r>
              <w:t>OFAC match on existing customer</w:t>
            </w:r>
          </w:p>
        </w:tc>
        <w:tc>
          <w:tcPr>
            <w:tcW w:type="dxa" w:w="4320"/>
          </w:tcPr>
          <w:p>
            <w:r>
              <w:t>Freeze account immediately; notify ofac@bank.com, compliance@bank.com, and Legal within 1 hour</w:t>
            </w:r>
          </w:p>
        </w:tc>
      </w:tr>
      <w:tr>
        <w:tc>
          <w:tcPr>
            <w:tcW w:type="dxa" w:w="4320"/>
          </w:tcPr>
          <w:p>
            <w:r>
              <w:t>Unsure if activity warrants a SAR</w:t>
            </w:r>
          </w:p>
        </w:tc>
        <w:tc>
          <w:tcPr>
            <w:tcW w:type="dxa" w:w="4320"/>
          </w:tcPr>
          <w:p>
            <w:r>
              <w:t>When in doubt, file the SAR — consult BSA Officer; law protects good-faith filers</w:t>
            </w:r>
          </w:p>
        </w:tc>
      </w:tr>
      <w:tr>
        <w:tc>
          <w:tcPr>
            <w:tcW w:type="dxa" w:w="4320"/>
          </w:tcPr>
          <w:p>
            <w:r>
              <w:t>Law enforcement arrives with subpoena</w:t>
            </w:r>
          </w:p>
        </w:tc>
        <w:tc>
          <w:tcPr>
            <w:tcW w:type="dxa" w:w="4320"/>
          </w:tcPr>
          <w:p>
            <w:r>
              <w:t>Direct to Legal immediately; do not provide records without Legal review</w:t>
            </w:r>
          </w:p>
        </w:tc>
      </w:tr>
      <w:tr>
        <w:tc>
          <w:tcPr>
            <w:tcW w:type="dxa" w:w="4320"/>
          </w:tcPr>
          <w:p>
            <w:r>
              <w:t>Customer shows structuring pattern</w:t>
            </w:r>
          </w:p>
        </w:tc>
        <w:tc>
          <w:tcPr>
            <w:tcW w:type="dxa" w:w="4320"/>
          </w:tcPr>
          <w:p>
            <w:r>
              <w:t>Do not alert customer; file SAR; consider account restriction pending investigation</w:t>
            </w:r>
          </w:p>
        </w:tc>
      </w:tr>
    </w:tbl>
    <w:p/>
    <w:p>
      <w:pPr>
        <w:pStyle w:val="Heading2"/>
      </w:pPr>
      <w:r>
        <w:t>6. Key Contacts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Email</w:t>
            </w:r>
          </w:p>
        </w:tc>
        <w:tc>
          <w:tcPr>
            <w:tcW w:type="dxa" w:w="2880"/>
          </w:tcPr>
          <w:p>
            <w:r>
              <w:rPr>
                <w:b/>
              </w:rPr>
              <w:t>Phone</w:t>
            </w:r>
          </w:p>
        </w:tc>
      </w:tr>
      <w:tr>
        <w:tc>
          <w:tcPr>
            <w:tcW w:type="dxa" w:w="2880"/>
          </w:tcPr>
          <w:p>
            <w:r>
              <w:t>KYC Team</w:t>
            </w:r>
          </w:p>
        </w:tc>
        <w:tc>
          <w:tcPr>
            <w:tcW w:type="dxa" w:w="2880"/>
          </w:tcPr>
          <w:p>
            <w:r>
              <w:t>kyc@bank.com</w:t>
            </w:r>
          </w:p>
        </w:tc>
        <w:tc>
          <w:tcPr>
            <w:tcW w:type="dxa" w:w="2880"/>
          </w:tcPr>
          <w:p>
            <w:r>
              <w:t>+1-800-555-0401</w:t>
            </w:r>
          </w:p>
        </w:tc>
      </w:tr>
      <w:tr>
        <w:tc>
          <w:tcPr>
            <w:tcW w:type="dxa" w:w="2880"/>
          </w:tcPr>
          <w:p>
            <w:r>
              <w:t>AML Team</w:t>
            </w:r>
          </w:p>
        </w:tc>
        <w:tc>
          <w:tcPr>
            <w:tcW w:type="dxa" w:w="2880"/>
          </w:tcPr>
          <w:p>
            <w:r>
              <w:t>aml@bank.com</w:t>
            </w:r>
          </w:p>
        </w:tc>
        <w:tc>
          <w:tcPr>
            <w:tcW w:type="dxa" w:w="2880"/>
          </w:tcPr>
          <w:p>
            <w:r>
              <w:t>+1-800-555-0402</w:t>
            </w:r>
          </w:p>
        </w:tc>
      </w:tr>
      <w:tr>
        <w:tc>
          <w:tcPr>
            <w:tcW w:type="dxa" w:w="2880"/>
          </w:tcPr>
          <w:p>
            <w:r>
              <w:t>BSA Officer</w:t>
            </w:r>
          </w:p>
        </w:tc>
        <w:tc>
          <w:tcPr>
            <w:tcW w:type="dxa" w:w="2880"/>
          </w:tcPr>
          <w:p>
            <w:r>
              <w:t>bsa@bank.com</w:t>
            </w:r>
          </w:p>
        </w:tc>
        <w:tc>
          <w:tcPr>
            <w:tcW w:type="dxa" w:w="2880"/>
          </w:tcPr>
          <w:p>
            <w:r>
              <w:t>+1-800-555-0403</w:t>
            </w:r>
          </w:p>
        </w:tc>
      </w:tr>
      <w:tr>
        <w:tc>
          <w:tcPr>
            <w:tcW w:type="dxa" w:w="2880"/>
          </w:tcPr>
          <w:p>
            <w:r>
              <w:t>Chief Compliance Officer</w:t>
            </w:r>
          </w:p>
        </w:tc>
        <w:tc>
          <w:tcPr>
            <w:tcW w:type="dxa" w:w="2880"/>
          </w:tcPr>
          <w:p>
            <w:r>
              <w:t>cco@bank.com</w:t>
            </w:r>
          </w:p>
        </w:tc>
        <w:tc>
          <w:tcPr>
            <w:tcW w:type="dxa" w:w="2880"/>
          </w:tcPr>
          <w:p>
            <w:r>
              <w:t>+1-800-555-0199</w:t>
            </w:r>
          </w:p>
        </w:tc>
      </w:tr>
      <w:tr>
        <w:tc>
          <w:tcPr>
            <w:tcW w:type="dxa" w:w="2880"/>
          </w:tcPr>
          <w:p>
            <w:r>
              <w:t>Legal</w:t>
            </w:r>
          </w:p>
        </w:tc>
        <w:tc>
          <w:tcPr>
            <w:tcW w:type="dxa" w:w="2880"/>
          </w:tcPr>
          <w:p>
            <w:r>
              <w:t>legal@bank.com</w:t>
            </w:r>
          </w:p>
        </w:tc>
        <w:tc>
          <w:tcPr>
            <w:tcW w:type="dxa" w:w="2880"/>
          </w:tcPr>
          <w:p>
            <w:r>
              <w:t>+1-800-555-0450</w:t>
            </w:r>
          </w:p>
        </w:tc>
      </w:tr>
      <w:tr>
        <w:tc>
          <w:tcPr>
            <w:tcW w:type="dxa" w:w="2880"/>
          </w:tcPr>
          <w:p>
            <w:r>
              <w:t>FinCEN</w:t>
            </w:r>
          </w:p>
        </w:tc>
        <w:tc>
          <w:tcPr>
            <w:tcW w:type="dxa" w:w="2880"/>
          </w:tcPr>
          <w:p>
            <w:r>
              <w:t>Via BSA E-Filing</w:t>
            </w:r>
          </w:p>
        </w:tc>
        <w:tc>
          <w:tcPr>
            <w:tcW w:type="dxa" w:w="2880"/>
          </w:tcPr>
          <w:p>
            <w:r>
              <w:t>1-800-767-2825</w:t>
            </w:r>
          </w:p>
        </w:tc>
      </w:tr>
    </w:tbl>
    <w:p/>
    <w:p>
      <w:pPr>
        <w:pStyle w:val="Heading2"/>
      </w:pPr>
      <w:r>
        <w:t>7. Change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Jun 2019</w:t>
            </w:r>
          </w:p>
        </w:tc>
        <w:tc>
          <w:tcPr>
            <w:tcW w:type="dxa" w:w="2160"/>
          </w:tcPr>
          <w:p>
            <w:r>
              <w:t>BSA Office</w:t>
            </w:r>
          </w:p>
        </w:tc>
        <w:tc>
          <w:tcPr>
            <w:tcW w:type="dxa" w:w="2160"/>
          </w:tcPr>
          <w:p>
            <w:r>
              <w:t>Initial version</w:t>
            </w:r>
          </w:p>
        </w:tc>
      </w:tr>
      <w:tr>
        <w:tc>
          <w:tcPr>
            <w:tcW w:type="dxa" w:w="2160"/>
          </w:tcPr>
          <w:p>
            <w:r>
              <w:t>2.0</w:t>
            </w:r>
          </w:p>
        </w:tc>
        <w:tc>
          <w:tcPr>
            <w:tcW w:type="dxa" w:w="2160"/>
          </w:tcPr>
          <w:p>
            <w:r>
              <w:t>Jan 2021</w:t>
            </w:r>
          </w:p>
        </w:tc>
        <w:tc>
          <w:tcPr>
            <w:tcW w:type="dxa" w:w="2160"/>
          </w:tcPr>
          <w:p>
            <w:r>
              <w:t>Compliance</w:t>
            </w:r>
          </w:p>
        </w:tc>
        <w:tc>
          <w:tcPr>
            <w:tcW w:type="dxa" w:w="2160"/>
          </w:tcPr>
          <w:p>
            <w:r>
              <w:t>Added Beneficial Ownership rules per FinCEN CDD Rule</w:t>
            </w:r>
          </w:p>
        </w:tc>
      </w:tr>
      <w:tr>
        <w:tc>
          <w:tcPr>
            <w:tcW w:type="dxa" w:w="2160"/>
          </w:tcPr>
          <w:p>
            <w:r>
              <w:t>3.0</w:t>
            </w:r>
          </w:p>
        </w:tc>
        <w:tc>
          <w:tcPr>
            <w:tcW w:type="dxa" w:w="2160"/>
          </w:tcPr>
          <w:p>
            <w:r>
              <w:t>Mar 2024</w:t>
            </w:r>
          </w:p>
        </w:tc>
        <w:tc>
          <w:tcPr>
            <w:tcW w:type="dxa" w:w="2160"/>
          </w:tcPr>
          <w:p>
            <w:r>
              <w:t>CCO Office</w:t>
            </w:r>
          </w:p>
        </w:tc>
        <w:tc>
          <w:tcPr>
            <w:tcW w:type="dxa" w:w="2160"/>
          </w:tcPr>
          <w:p>
            <w:r>
              <w:t>Updated EDD requirements; added Actimize monitoring rules</w:t>
            </w:r>
          </w:p>
        </w:tc>
      </w:tr>
      <w:tr>
        <w:tc>
          <w:tcPr>
            <w:tcW w:type="dxa" w:w="2160"/>
          </w:tcPr>
          <w:p>
            <w:r>
              <w:t>4.0</w:t>
            </w:r>
          </w:p>
        </w:tc>
        <w:tc>
          <w:tcPr>
            <w:tcW w:type="dxa" w:w="2160"/>
          </w:tcPr>
          <w:p>
            <w:r>
              <w:t>Jun 2026</w:t>
            </w:r>
          </w:p>
        </w:tc>
        <w:tc>
          <w:tcPr>
            <w:tcW w:type="dxa" w:w="2160"/>
          </w:tcPr>
          <w:p>
            <w:r>
              <w:t>BSA Officer</w:t>
            </w:r>
          </w:p>
        </w:tc>
        <w:tc>
          <w:tcPr>
            <w:tcW w:type="dxa" w:w="2160"/>
          </w:tcPr>
          <w:p>
            <w:r>
              <w:t>Updated SAR thresholds; added PEP screening; revised risk tier definitions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