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Task 2 — Submission Description</w:t>
      </w:r>
    </w:p>
    <w:p>
      <w:pPr>
        <w:spacing w:after="200" w:line="269" w:lineRule="auto"/>
      </w:pPr>
      <w:r>
        <w:t>This Task 2 report delivers a combined fundamental and technical analysis of Mahindra &amp; Mahindra Limited (NSE: M&amp;M), an Indian automotive company with additional farm-equipment, financial-services and investment interests. It is prepared for the Automotive Stock Market Analysis Intern assignment and includes separate methodology and findings for the two forms of analysis, supporting visualizations, cited public sources, limitations and research-based conclusions.</w:t>
      </w:r>
    </w:p>
    <w:p>
      <w:pPr>
        <w:spacing w:after="200" w:line="269" w:lineRule="auto"/>
      </w:pPr>
      <w:r>
        <w:t>The fundamental section uses Mahindra &amp; Mahindra's FY2025–26 published results and audited Integrated Annual Report. It compares FY26 and FY25 revenue, EBITDA, profit after tax, EPS, automotive segment revenue and PBIT, return on equity, balance-sheet scale, cash flow from operations and acquisition of property, plant and equipment/intangible assets. Ratios are calculated from disclosed figures, with formulas and units shown. The report considers growth, profitability, cash generation, debt/liquidity, valuation context, business mix, market-share claims and major risks. Because the consolidated company includes a large financial-services business, it explains why group borrowings, current ratios and consolidated operating cash flows should not be treated as if they belonged only to vehicle manufacturing. A peer comparison is included as market context, not as a claim that the businesses are identical.</w:t>
      </w:r>
    </w:p>
    <w:p>
      <w:pPr>
        <w:spacing w:after="200" w:line="269" w:lineRule="auto"/>
      </w:pPr>
      <w:r>
        <w:t>The technical section downloads actual daily share prices and trading volume for M&amp;M and selected market/automotive comparators. It computes simple and annualized returns, rolling moving averages, Relative Strength Index (RSI), Moving Average Convergence Divergence (MACD), Bollinger Bands, recent support/resistance zones, drawdown, volume changes and the position of the price relative to its 52-week range. Charts show price and trend lines, momentum, volatility bands, volume, and relative performance. Indicators are defined and interpreted in plain language, with attention to lagging signals, false breakouts, market-wide risk and the fact that technical indicators do not predict outcomes with certainty.</w:t>
      </w:r>
    </w:p>
    <w:p>
      <w:pPr>
        <w:spacing w:after="200" w:line="269" w:lineRule="auto"/>
      </w:pPr>
      <w:r>
        <w:t>The final section integrates the two approaches. It distinguishes durable earnings/business evidence from shorter-term market momentum, lists catalysts and risk factors to monitor, and offers a practical analyst checklist for updating the thesis after monthly sales and quarterly financial disclosures. The project is reproducible: it includes the Python script, dependencies, outputs, source records, metadata, charts and editable Word files. It is educational market research rather than personalized financial advice, and no buy/sell target is asserted.</w:t>
      </w:r>
    </w:p>
    <w:p>
      <w:pPr>
        <w:jc w:val="right"/>
      </w:pPr>
      <w:r>
        <w:rPr>
          <w:i/>
          <w:sz w:val="18"/>
        </w:rPr>
        <w:t>Word count: 358</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