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Fundamental and Technical Analysis of Automotive Stocks</w:t>
      </w:r>
    </w:p>
    <w:p>
      <w:pPr>
        <w:jc w:val="center"/>
      </w:pPr>
      <w:r>
        <w:t>Primary company: Mahindra &amp; Mahindra Ltd. (NSE: M&amp;M) | Peer and benchmark context</w:t>
      </w:r>
    </w:p>
    <w:p>
      <w:pPr>
        <w:pStyle w:val="Heading1"/>
      </w:pPr>
      <w:r>
        <w:t>Executive Summary</w:t>
      </w:r>
    </w:p>
    <w:p>
      <w:r>
        <w:t>M&amp;M's FY2025–26 consolidated income from operations was ₹198,638.55 crore, up 24.8% from FY25, while profit attributable to owners reached ₹17,098.85 crore, up 32.3%. The owner PAT margin improved from 8.12% to 8.61%, and company-reported FY26 return on equity was 20.1% with EPS of ₹152.2 [F1–F3]. The statement of cash flows reports ₹11,657.36 crore operating cash flow and ₹9,605.45 crore PPE/intangible acquisition outflow, a simple CFO-minus-capex proxy of ₹2,051.91 crore [F2]. Technical analysis uses daily OHLCV data through 2026-10-12. The latest recorded close was ₹2,813.00; price was price below sma20, sma50 and sma200, RSI(14) was 28.52, and MACD was macd below signal. These signals are descriptive, lagging and not a standalone buy/sell call.</w:t>
      </w:r>
    </w:p>
    <w:p>
      <w:pPr>
        <w:pStyle w:val="Heading2"/>
      </w:pPr>
      <w:r>
        <w:t>Key messages</w:t>
      </w:r>
    </w:p>
    <w:p>
      <w:pPr>
        <w:pStyle w:val="ListBullet"/>
      </w:pPr>
      <w:r>
        <w:t>Fundamental growth: consolidated income from operations rose 24.8% and owner-attributable PAT rose 32.3% in FY26.</w:t>
      </w:r>
    </w:p>
    <w:p>
      <w:pPr>
        <w:pStyle w:val="ListBullet"/>
      </w:pPr>
      <w:r>
        <w:t>Profitability: owner PAT margin was 8.61% versus 8.12% in FY25. The report separately labels its EBITDA-like measure to avoid confusion with a standardized reported EBITDA figure.</w:t>
      </w:r>
    </w:p>
    <w:p>
      <w:pPr>
        <w:pStyle w:val="ListBullet"/>
      </w:pPr>
      <w:r>
        <w:t>Cash quality: CFO improved to ₹11,657 crore. CFO less PPE/intangible capex was ₹2,052 crore, but this is a simplified proxy and consolidated cash flows include financial-services effects.</w:t>
      </w:r>
    </w:p>
    <w:p>
      <w:pPr>
        <w:pStyle w:val="ListBullet"/>
      </w:pPr>
      <w:r>
        <w:t>Technical state: the latest price was ₹2,813.00; RSI 28.52; MACD below signal. Review the actual charts and price date before interpreting a short-term signal.</w:t>
      </w:r>
    </w:p>
    <w:p>
      <w:pPr>
        <w:pStyle w:val="ListBullet"/>
      </w:pPr>
      <w:r>
        <w:t>The company is diversified beyond vehicle manufacturing. Consolidated finance costs, assets and working-capital ratios should not be read as if M&amp;M were a pure-play automaker.</w:t>
      </w:r>
    </w:p>
    <w:p>
      <w:pPr>
        <w:pStyle w:val="Heading1"/>
      </w:pPr>
      <w:r>
        <w:t>1. Company profile and analytical scope</w:t>
      </w:r>
    </w:p>
    <w:p>
      <w:r>
        <w:t>Mahindra &amp; Mahindra Limited (M&amp;M) is a major Indian automotive and farm-equipment business within a diversified group. The FY26 group reporting also reflects financial services, technology and other interests. This makes consolidated results useful to understand group earnings but requires care when inferring the economics of only the automotive business. The report uses M&amp;M as the main case, Maruti Suzuki as a listed automotive peer for share-price context, and Nifty 50 as the broad-market comparison. Comparisons are not perfectly like-for-like: companies have different segment mixes and a stock-price chart does not replace a peer's financial statements.</w:t>
      </w:r>
    </w:p>
    <w:p>
      <w:r>
        <w:t>The assignment is split into two distinct methods. Fundamental analysis asks what the business earned, how margins and cash generation changed, what risks appear in the statements, and what valuation context implies. Technical analysis asks how the market price and trading volume behaved, and what moving-average, momentum and volatility-band indicators currently show. The fundamental period is FY25 vs FY26; technical calculations use rolling daily data up to the latest downloaded date. This avoids mixing annual accounting periods with the rolling trading window.</w:t>
      </w:r>
    </w:p>
    <w:p>
      <w:pPr>
        <w:pStyle w:val="Heading1"/>
      </w:pPr>
      <w:r>
        <w:t>2. Data sources and methodology</w:t>
      </w:r>
    </w:p>
    <w:p>
      <w:r>
        <w:t>Fundamental figures come from M&amp;M's FY2025–26 Integrated Annual Report and audited results announcement published on 5 May 2026 [F1–F3]. The report distinguishes income from operations from revenue from operations as labeled in the annual report; consolidated figures include the group subsidiaries and financial-services business. Market price/volume series are downloaded at run time from Yahoo Finance through yfinance [T1]. NSE India provides a separate official quote and market-statistics reference [F4]. Maruti's investor disclosures are linked as peer context [P1].</w:t>
      </w:r>
    </w:p>
    <w:p>
      <w:r>
        <w:t>Price-data window available: 2021-10-13 to 2026-10-12. Technical indicators are calculated on the adjusted daily date index using close prices (moving averages, RSI, MACD, Bollinger Bands) and daily trading volume. For performance comparisons, close-price returns are price returns and do not include all dividends unless reflected by adjusted prices. Exact ticker coverage and row counts are saved in outputs/run_metadata.json.</w:t>
      </w:r>
    </w:p>
    <w:p>
      <w:pPr>
        <w:pStyle w:val="Heading1"/>
      </w:pPr>
      <w:r>
        <w:t>3. Fundamental analysis</w:t>
      </w:r>
    </w:p>
    <w:p>
      <w:pPr>
        <w:pStyle w:val="Heading2"/>
      </w:pPr>
      <w:r>
        <w:t>3.1 Income statement trend</w:t>
      </w:r>
    </w:p>
    <w:p>
      <w:r>
        <w:t>Income from operations increased from ₹159,210.82 crore in FY25 to ₹198,638.55 crore in FY26 (24.8% growth). Profit before depreciation, finance costs, share of profit from associates/joint ventures, exceptional items and tax—the report's explicitly labeled EBITDA-like measure—rose from ₹32,699.24 crore to ₹40,425.66 crore. Its ratio to income from operations was 20.54% in FY25 and 20.35% in FY26. Because this subtotal is defined by the annual report's line item and may not match analyst-adjusted EBITDA, it is labelled rather than presented as a standardized metric [F1].</w:t>
      </w:r>
    </w:p>
    <w:p>
      <w:r>
        <w:t>Profit attributable to owners grew from ₹12,929.10 crore to ₹17,098.85 crore (32.3%). Owner PAT margin grew from 8.12% to 8.61%. Profit for the year before attribution to non-controlling interests is different from PAT attributable to owners; the report uses owner PAT consistently for the owner margin calculation. M&amp;M's release reports consolidated PAT of ₹17,099 crore, RoE of 20.1% and EPS of ₹152.2 for FY26 [F3].</w:t>
      </w:r>
    </w:p>
    <w:p>
      <w:pPr>
        <w:pStyle w:val="Heading2"/>
      </w:pPr>
      <w:r>
        <w:t>3.2 Fundamental ratios</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Ratio / measure</w:t>
            </w:r>
          </w:p>
        </w:tc>
        <w:tc>
          <w:tcPr>
            <w:tcW w:type="dxa" w:w="3408"/>
          </w:tcPr>
          <w:p>
            <w:r>
              <w:t>Result</w:t>
            </w:r>
          </w:p>
        </w:tc>
        <w:tc>
          <w:tcPr>
            <w:tcW w:type="dxa" w:w="3408"/>
          </w:tcPr>
          <w:p>
            <w:r>
              <w:t>Formula / basis</w:t>
            </w:r>
          </w:p>
        </w:tc>
      </w:tr>
      <w:tr>
        <w:tc>
          <w:tcPr>
            <w:tcW w:type="dxa" w:w="3408"/>
          </w:tcPr>
          <w:p>
            <w:r>
              <w:t>Income from operations growth</w:t>
            </w:r>
          </w:p>
        </w:tc>
        <w:tc>
          <w:tcPr>
            <w:tcW w:type="dxa" w:w="3408"/>
          </w:tcPr>
          <w:p>
            <w:r>
              <w:t>24.76%</w:t>
            </w:r>
          </w:p>
        </w:tc>
        <w:tc>
          <w:tcPr>
            <w:tcW w:type="dxa" w:w="3408"/>
          </w:tcPr>
          <w:p>
            <w:r>
              <w:t>(FY26 income from operations / FY25 income from operations − 1) × 100</w:t>
            </w:r>
          </w:p>
        </w:tc>
      </w:tr>
      <w:tr>
        <w:tc>
          <w:tcPr>
            <w:tcW w:type="dxa" w:w="3408"/>
          </w:tcPr>
          <w:p>
            <w:r>
              <w:t>Owner PAT growth</w:t>
            </w:r>
          </w:p>
        </w:tc>
        <w:tc>
          <w:tcPr>
            <w:tcW w:type="dxa" w:w="3408"/>
          </w:tcPr>
          <w:p>
            <w:r>
              <w:t>32.25%</w:t>
            </w:r>
          </w:p>
        </w:tc>
        <w:tc>
          <w:tcPr>
            <w:tcW w:type="dxa" w:w="3408"/>
          </w:tcPr>
          <w:p>
            <w:r>
              <w:t>(FY26 owner PAT / FY25 owner PAT − 1) × 100</w:t>
            </w:r>
          </w:p>
        </w:tc>
      </w:tr>
      <w:tr>
        <w:tc>
          <w:tcPr>
            <w:tcW w:type="dxa" w:w="3408"/>
          </w:tcPr>
          <w:p>
            <w:r>
              <w:t>EBITDA-like margin FY25</w:t>
            </w:r>
          </w:p>
        </w:tc>
        <w:tc>
          <w:tcPr>
            <w:tcW w:type="dxa" w:w="3408"/>
          </w:tcPr>
          <w:p>
            <w:r>
              <w:t>20.54%</w:t>
            </w:r>
          </w:p>
        </w:tc>
        <w:tc>
          <w:tcPr>
            <w:tcW w:type="dxa" w:w="3408"/>
          </w:tcPr>
          <w:p>
            <w:r>
              <w:t>EBITDA-like subtotal / income from operations × 100</w:t>
            </w:r>
          </w:p>
        </w:tc>
      </w:tr>
      <w:tr>
        <w:tc>
          <w:tcPr>
            <w:tcW w:type="dxa" w:w="3408"/>
          </w:tcPr>
          <w:p>
            <w:r>
              <w:t>EBITDA-like margin FY26</w:t>
            </w:r>
          </w:p>
        </w:tc>
        <w:tc>
          <w:tcPr>
            <w:tcW w:type="dxa" w:w="3408"/>
          </w:tcPr>
          <w:p>
            <w:r>
              <w:t>20.35%</w:t>
            </w:r>
          </w:p>
        </w:tc>
        <w:tc>
          <w:tcPr>
            <w:tcW w:type="dxa" w:w="3408"/>
          </w:tcPr>
          <w:p>
            <w:r>
              <w:t>EBITDA-like subtotal / income from operations × 100</w:t>
            </w:r>
          </w:p>
        </w:tc>
      </w:tr>
      <w:tr>
        <w:tc>
          <w:tcPr>
            <w:tcW w:type="dxa" w:w="3408"/>
          </w:tcPr>
          <w:p>
            <w:r>
              <w:t>Owner PAT margin FY25</w:t>
            </w:r>
          </w:p>
        </w:tc>
        <w:tc>
          <w:tcPr>
            <w:tcW w:type="dxa" w:w="3408"/>
          </w:tcPr>
          <w:p>
            <w:r>
              <w:t>8.12%</w:t>
            </w:r>
          </w:p>
        </w:tc>
        <w:tc>
          <w:tcPr>
            <w:tcW w:type="dxa" w:w="3408"/>
          </w:tcPr>
          <w:p>
            <w:r>
              <w:t>Owner-attributable PAT / income from operations × 100</w:t>
            </w:r>
          </w:p>
        </w:tc>
      </w:tr>
      <w:tr>
        <w:tc>
          <w:tcPr>
            <w:tcW w:type="dxa" w:w="3408"/>
          </w:tcPr>
          <w:p>
            <w:r>
              <w:t>Owner PAT margin FY26</w:t>
            </w:r>
          </w:p>
        </w:tc>
        <w:tc>
          <w:tcPr>
            <w:tcW w:type="dxa" w:w="3408"/>
          </w:tcPr>
          <w:p>
            <w:r>
              <w:t>8.61%</w:t>
            </w:r>
          </w:p>
        </w:tc>
        <w:tc>
          <w:tcPr>
            <w:tcW w:type="dxa" w:w="3408"/>
          </w:tcPr>
          <w:p>
            <w:r>
              <w:t>Owner-attributable PAT / income from operations × 100</w:t>
            </w:r>
          </w:p>
        </w:tc>
      </w:tr>
      <w:tr>
        <w:tc>
          <w:tcPr>
            <w:tcW w:type="dxa" w:w="3408"/>
          </w:tcPr>
          <w:p>
            <w:r>
              <w:t>CFO change FY25 → FY26</w:t>
            </w:r>
          </w:p>
        </w:tc>
        <w:tc>
          <w:tcPr>
            <w:tcW w:type="dxa" w:w="3408"/>
          </w:tcPr>
          <w:p>
            <w:r>
              <w:t>267.1%</w:t>
            </w:r>
          </w:p>
        </w:tc>
        <w:tc>
          <w:tcPr>
            <w:tcW w:type="dxa" w:w="3408"/>
          </w:tcPr>
          <w:p>
            <w:r>
              <w:t>(FY26 CFO / FY25 CFO − 1) × 100; comparison is from a low base</w:t>
            </w:r>
          </w:p>
        </w:tc>
      </w:tr>
      <w:tr>
        <w:tc>
          <w:tcPr>
            <w:tcW w:type="dxa" w:w="3408"/>
          </w:tcPr>
          <w:p>
            <w:r>
              <w:t>CFO less PPE/intangible capex FY25</w:t>
            </w:r>
          </w:p>
        </w:tc>
        <w:tc>
          <w:tcPr>
            <w:tcW w:type="dxa" w:w="3408"/>
          </w:tcPr>
          <w:p>
            <w:r>
              <w:t>₹-7,216.14 cr</w:t>
            </w:r>
          </w:p>
        </w:tc>
        <w:tc>
          <w:tcPr>
            <w:tcW w:type="dxa" w:w="3408"/>
          </w:tcPr>
          <w:p>
            <w:r>
              <w:t>CFO − purchase of PPE and intangible assets; simplified proxy</w:t>
            </w:r>
          </w:p>
        </w:tc>
      </w:tr>
      <w:tr>
        <w:tc>
          <w:tcPr>
            <w:tcW w:type="dxa" w:w="3408"/>
          </w:tcPr>
          <w:p>
            <w:r>
              <w:t>CFO less PPE/intangible capex FY26</w:t>
            </w:r>
          </w:p>
        </w:tc>
        <w:tc>
          <w:tcPr>
            <w:tcW w:type="dxa" w:w="3408"/>
          </w:tcPr>
          <w:p>
            <w:r>
              <w:t>₹2,051.91 cr</w:t>
            </w:r>
          </w:p>
        </w:tc>
        <w:tc>
          <w:tcPr>
            <w:tcW w:type="dxa" w:w="3408"/>
          </w:tcPr>
          <w:p>
            <w:r>
              <w:t>CFO − purchase of PPE and intangible assets; simplified proxy</w:t>
            </w:r>
          </w:p>
        </w:tc>
      </w:tr>
      <w:tr>
        <w:tc>
          <w:tcPr>
            <w:tcW w:type="dxa" w:w="3408"/>
          </w:tcPr>
          <w:p>
            <w:r>
              <w:t>Company-reported RoE FY26</w:t>
            </w:r>
          </w:p>
        </w:tc>
        <w:tc>
          <w:tcPr>
            <w:tcW w:type="dxa" w:w="3408"/>
          </w:tcPr>
          <w:p>
            <w:r>
              <w:t>20.1%</w:t>
            </w:r>
          </w:p>
        </w:tc>
        <w:tc>
          <w:tcPr>
            <w:tcW w:type="dxa" w:w="3408"/>
          </w:tcPr>
          <w:p>
            <w:r>
              <w:t>M&amp;M FY26 results release; denominator methodology per company report</w:t>
            </w:r>
          </w:p>
        </w:tc>
      </w:tr>
      <w:tr>
        <w:tc>
          <w:tcPr>
            <w:tcW w:type="dxa" w:w="3408"/>
          </w:tcPr>
          <w:p>
            <w:r>
              <w:t>Company-reported EPS FY26</w:t>
            </w:r>
          </w:p>
        </w:tc>
        <w:tc>
          <w:tcPr>
            <w:tcW w:type="dxa" w:w="3408"/>
          </w:tcPr>
          <w:p>
            <w:r>
              <w:t>₹152.20</w:t>
            </w:r>
          </w:p>
        </w:tc>
        <w:tc>
          <w:tcPr>
            <w:tcW w:type="dxa" w:w="3408"/>
          </w:tcPr>
          <w:p>
            <w:r>
              <w:t>M&amp;M FY26 results release</w:t>
            </w:r>
          </w:p>
        </w:tc>
      </w:tr>
    </w:tbl>
    <w:p>
      <w:r>
        <w:t>The CFO-minus-capex metric is not a full standardized free-cash-flow calculation. Consolidated cash-flow statements include financial-services receivables, investment purchases and sales, deposits and other group flows. A manufacturer-only cash conversion ratio would require segment-level detail and consistent working-capital definitions. For the same reason, a generic current ratio or debt/equity figure for this diversified group may mislead if read as a pure automotive metric.</w:t>
      </w:r>
    </w:p>
    <w:p>
      <w:pPr>
        <w:pStyle w:val="Heading2"/>
      </w:pPr>
      <w:r>
        <w:t>3.3 Cash flow and capital allocation</w:t>
      </w:r>
    </w:p>
    <w:p>
      <w:r>
        <w:t>Net cash flow from operating activities increased from ₹3,175.81 crore in FY25 to ₹11,657.36 crore in FY26 [F2]. Purchase of property, plant, equipment and intangible assets was ₹9,605.45 crore in FY26, lower than ₹10,391.95 crore in FY25. On the simple CFO-minus-capex proxy, the result moved from ₹-7,216.14 crore to ₹2,051.91 crore. The increase in operating cash flow is encouraging, yet the proxy should not be over-read because changes in financial-services receivables are material in consolidated operating cash flow [F2].</w:t>
      </w:r>
    </w:p>
    <w:p>
      <w:r>
        <w:t>The analyst should compare cash generation with reported earnings over multiple years, not one period. Additional checks include capex commitments, investment cash flows, acquisition-related outflows, dividend commitments, debt maturities, and whether profits are converted into cash. M&amp;M's group structure means that investing cash flows can be large and volatile because purchases and sales of financial investments are substantial; those lines do not equal vehicle-manufacturing capex.</w:t>
      </w:r>
    </w:p>
    <w:p>
      <w:pPr>
        <w:pStyle w:val="Heading2"/>
      </w:pPr>
      <w:r>
        <w:t>3.4 Business positioning and peer context</w:t>
      </w:r>
    </w:p>
    <w:p>
      <w:r>
        <w:t>The FY26 company release reported SUV revenue market share of 25.3%, LCV below 3.5-tonne market share of 52.3%, tractor market share of 43.6% and electric three-wheeler market share of 40.0% under the stated company/industry definitions [F3]. It also reported growth across auto and farm, alongside other group businesses. These are relevant operating indicators but must be read with definitions and periods in the release. Revenue market share is not the same metric as unit share; neither proves that the shares will persist.</w:t>
      </w:r>
    </w:p>
    <w:p>
      <w:r>
        <w:t>Maruti Suzuki is included as a peer for market-price context because it has meaningful passenger-vehicle overlap, but its business mix and reporting details are not identical to M&amp;M. A complete valuation comparison would require aligned FY statements, diluted EPS, debt/cash, segment economics and forecast estimates for both companies. This project avoids drawing a firm valuation conclusion from a single price-to-earnings snapshot.</w:t>
      </w:r>
    </w:p>
    <w:p>
      <w:pPr>
        <w:pStyle w:val="Heading2"/>
      </w:pPr>
      <w:r>
        <w:t>3.5 Valuation and fundamental risks</w:t>
      </w:r>
    </w:p>
    <w:p>
      <w:r>
        <w:t>The NSE quote page on 12 October 2026 showed M&amp;M at ₹2,813, with a reported symbol P/E of 17.18 and 52-week range of ₹2,744.30–₹3,839.90 [F4]. These are timestamped market observations and will change. P/E is most useful when paired with expected earnings growth, capital intensity, cyclicality, competitive positioning and the quality of earnings. A lower P/E can reflect a lower expected growth rate or higher risk; a higher P/E can reflect expectations already embedded in the share price.</w:t>
      </w:r>
    </w:p>
    <w:p>
      <w:r>
        <w:t>Fundamental risks include cyclical vehicle demand, financing affordability, commodity/input costs, discounting, product recalls/quality, model-cycle timing, competition in SUVs and electric vehicles, export-market fluctuations, regulation and group-level complexity. Financial services can add funding, credit-cost and asset-quality exposure. The analyst should monitor monthly sales and quarterly segment disclosures and test whether market-share gains translate into profitability and cash flow.</w:t>
      </w:r>
    </w:p>
    <w:p>
      <w:pPr>
        <w:pStyle w:val="Heading1"/>
      </w:pPr>
      <w:r>
        <w:t>4. Technical analysis</w:t>
      </w:r>
    </w:p>
    <w:p>
      <w:pPr>
        <w:pStyle w:val="Heading2"/>
      </w:pPr>
      <w:r>
        <w:t>4.1 Trend and moving averages</w:t>
      </w:r>
    </w:p>
    <w:p>
      <w:r>
        <w:t>The latest downloaded M&amp;M closing price was ₹2,813.00 on 2026-10-12. The 20-day simple moving average was ₹2,955.67, the 50-day average ₹3,192.04, and the 200-day average ₹3,256.87. Current configuration: Price below SMA20, SMA50 and SMA200. Shorter moving averages react faster but are noisier; the 200-day average is slower and may lag major turning points. A moving-average cross is a rule-based description, not proof of an upcoming move.</w:t>
      </w:r>
    </w:p>
    <w:p>
      <w:pPr>
        <w:pStyle w:val="Heading2"/>
      </w:pPr>
      <w:r>
        <w:t>4.2 RSI momentum</w:t>
      </w:r>
    </w:p>
    <w:p>
      <w:r>
        <w:t>RSI(14) was 28.52, classified as rsi in conventional oversold zone (&lt;=30). RSI compares the average magnitude of recent up days with down days and is bounded between 0 and 100. Traders often use 70 and 30 as overbought/oversold reference levels, but a strong trend can keep RSI elevated or depressed, and an oversold reading alone is not a buy signal.</w:t>
      </w:r>
    </w:p>
    <w:p>
      <w:pPr>
        <w:pStyle w:val="Heading2"/>
      </w:pPr>
      <w:r>
        <w:t>4.3 MACD</w:t>
      </w:r>
    </w:p>
    <w:p>
      <w:r>
        <w:t>The latest MACD was -108.35 and its signal line -98.02; the relative state was MACD below signal. MACD is the difference between 12- and 26-period exponential moving averages; the signal line is a 9-period EMA of MACD. A MACD line above the signal may indicate positive short-term momentum, but the indicator is lagging and false crosses occur during sideways markets.</w:t>
      </w:r>
    </w:p>
    <w:p>
      <w:pPr>
        <w:pStyle w:val="Heading2"/>
      </w:pPr>
      <w:r>
        <w:t>4.4 Bollinger Bands and volatility</w:t>
      </w:r>
    </w:p>
    <w:p>
      <w:r>
        <w:t>The chart uses a 20-session moving average with bands at two rolling standard deviations above and below the midline. A widening band suggests higher realized price dispersion, while narrowing bands show a quieter period that may precede renewed movement—but the direction is unknown from band width alone. Price touching an upper band does not automatically mean it is overvalued; it can accompany a strong trend.</w:t>
      </w:r>
    </w:p>
    <w:p>
      <w:pPr>
        <w:pStyle w:val="Heading2"/>
      </w:pPr>
      <w:r>
        <w:t>4.5 Volume, support/resistance and drawdown</w:t>
      </w:r>
    </w:p>
    <w:p>
      <w:r>
        <w:t>The latest observation's volume was 1,907,713 shares versus a 20-day average of 2,445,979 where available. Volume helps assess whether a price move attracted more or less participation, but data vendor conventions and block trades can affect the series. The report visualizes the one-year high/low context (₹2,744.30–₹3,839.90) and five-year maximum drawdown of -28.1%. Those extrema are historical, not formal support/resistance levels; chart-based levels are zones, not precise guarantees.</w:t>
      </w:r>
    </w:p>
    <w:p>
      <w:pPr>
        <w:pStyle w:val="Heading2"/>
      </w:pPr>
      <w:r>
        <w:t>4.6 Relative performance</w:t>
      </w:r>
    </w:p>
    <w:p>
      <w:r>
        <w:t>Over the observed one-year window, M&amp;M price return was -18.7% and Nifty 50 was -11.4%; over three years, M&amp;M was 79.6% and Nifty 50 13.0%. For Maruti Suzuki, the one-year price return was -30.7%. These are window-specific price returns, not forecasts or total-return comparisons.</w:t>
      </w:r>
    </w:p>
    <w:p>
      <w:pPr>
        <w:pStyle w:val="Heading1"/>
      </w:pPr>
      <w:r>
        <w:t>5. Fundamental and technical analysis together</w:t>
      </w:r>
    </w:p>
    <w:p>
      <w:r>
        <w:t>Fundamental evidence works over earnings cycles: FY26 revenue and profit grew, reported RoE was strong, and operating cash flow improved. Technical indicators describe how the market has re-priced the stock during the rolling window. The two can diverge because prices respond to future expectations, valuation changes, market-wide risk appetite, and short-term news. A positive fundamental report does not guarantee positive short-term price action; a weak chart does not invalidate the audited accounts.</w:t>
      </w:r>
    </w:p>
    <w:p>
      <w:r>
        <w:t>The current technical snapshot—price below sma20, sma50 and sma200, RSI 28.52, and macd below signal—should be treated as a dashboard, not a categorical recommendation. In practice, the analyst should specify a time horizon, scenario, price/volume invalidation level and valuation assumptions before forming a view. It is also important to check that the latest daily data are not stale and that official exchange quotes agree with third-party sources.</w:t>
      </w:r>
    </w:p>
    <w:p>
      <w:pPr>
        <w:pStyle w:val="Heading1"/>
      </w:pPr>
      <w:r>
        <w:t>6. Monitoring checklist and recommendations</w:t>
      </w:r>
    </w:p>
    <w:p>
      <w:pPr>
        <w:pStyle w:val="ListBullet"/>
      </w:pPr>
      <w:r>
        <w:t>Monthly: compare M&amp;M SUV, LCV, tractor and total auto dispatches with segment context, industry growth, exports and inventory/retail indicators.</w:t>
      </w:r>
    </w:p>
    <w:p>
      <w:pPr>
        <w:pStyle w:val="ListBullet"/>
      </w:pPr>
      <w:r>
        <w:t>Quarterly: track revenue, EBITDA-like margins, auto/farm segment PBIT, warranty/quality costs, discounts, receivables, capex, debt and cash conversion.</w:t>
      </w:r>
    </w:p>
    <w:p>
      <w:pPr>
        <w:pStyle w:val="ListBullet"/>
      </w:pPr>
      <w:r>
        <w:t>Valuation: compare forward earnings expectations, P/E history and peer multiples with expected growth, ROE, cash flow and business cyclicality.</w:t>
      </w:r>
    </w:p>
    <w:p>
      <w:pPr>
        <w:pStyle w:val="ListBullet"/>
      </w:pPr>
      <w:r>
        <w:t>Technical: update SMA20/50/200, RSI, MACD, Bollinger width, volume, relative performance and drawdown using fresh market observations.</w:t>
      </w:r>
    </w:p>
    <w:p>
      <w:pPr>
        <w:pStyle w:val="ListBullet"/>
      </w:pPr>
      <w:r>
        <w:t>Risk control: distinguish investment horizon and risk tolerance from chart signals; predefine position-sizing and loss tolerance instead of chasing a price breakout.</w:t>
      </w:r>
    </w:p>
    <w:p>
      <w:pPr>
        <w:pStyle w:val="ListBullet"/>
      </w:pPr>
      <w:r>
        <w:t>Source control: use company filings and NSE/BSE disclosures for final facts, record retrieval dates, and investigate discrepancies before changing a conclusion.</w:t>
      </w:r>
    </w:p>
    <w:p>
      <w:pPr>
        <w:pStyle w:val="Heading1"/>
      </w:pPr>
      <w:r>
        <w:t>7. Limitations</w:t>
      </w:r>
    </w:p>
    <w:p>
      <w:pPr>
        <w:pStyle w:val="ListBullet"/>
      </w:pPr>
      <w:r>
        <w:t>The financial analysis focuses on FY25 vs FY26 and is not a complete ten-year historical model or forward forecast.</w:t>
      </w:r>
    </w:p>
    <w:p>
      <w:pPr>
        <w:pStyle w:val="ListBullet"/>
      </w:pPr>
      <w:r>
        <w:t>Consolidated M&amp;M results combine businesses with different economics; consolidated finance costs, assets, and cash flow cannot be attributed solely to the automotive segment.</w:t>
      </w:r>
    </w:p>
    <w:p>
      <w:pPr>
        <w:pStyle w:val="ListBullet"/>
      </w:pPr>
      <w:r>
        <w:t>The EBITDA-like subtotal follows an annual-report line-item definition and may differ from analyst-adjusted EBITDA.</w:t>
      </w:r>
    </w:p>
    <w:p>
      <w:pPr>
        <w:pStyle w:val="ListBullet"/>
      </w:pPr>
      <w:r>
        <w:t>CFO less PPE/intangible capex is a simplified cash-flow proxy, not a fully standardized free-cash-flow measure.</w:t>
      </w:r>
    </w:p>
    <w:p>
      <w:pPr>
        <w:pStyle w:val="ListBullet"/>
      </w:pPr>
      <w:r>
        <w:t>Technical indicators are lagging, parameter-sensitive and prone to false signals in volatile or range-bound markets.</w:t>
      </w:r>
    </w:p>
    <w:p>
      <w:pPr>
        <w:pStyle w:val="ListBullet"/>
      </w:pPr>
      <w:r>
        <w:t>Yahoo Finance data may contain gaps, adjustments or volume differences; the script records data coverage, and current values should be cross-checked against official exchange records.</w:t>
      </w:r>
    </w:p>
    <w:p>
      <w:pPr>
        <w:pStyle w:val="ListBullet"/>
      </w:pPr>
      <w:r>
        <w:t>Past returns do not imply future returns. This report is educational analysis, not personalized investment advice.</w:t>
      </w:r>
    </w:p>
    <w:p>
      <w:pPr>
        <w:pStyle w:val="Heading1"/>
      </w:pPr>
      <w:r>
        <w:t>8. Conclusion</w:t>
      </w:r>
    </w:p>
    <w:p>
      <w:r>
        <w:t>FY26 provides a constructive fundamental base for examining M&amp;M: consolidated income from operations rose by about one quarter, owner-attributable PAT grew faster, the owner PAT margin increased, and reported operating cash flow improved. Company-reported market-share indicators provide operating context, but future performance still depends on demand, product mix, pricing, costs, credit conditions and execution. Technical charts supply a separate view of trend, momentum and volatility; none can forecast a price with certainty. The most defensible analyst output is a documented, regularly updated thesis that joins audited financial evidence to market behavior, and states what would change the view.</w:t>
      </w:r>
    </w:p>
    <w:p>
      <w:pPr>
        <w:pStyle w:val="Heading1"/>
      </w:pPr>
      <w:r>
        <w:t>9. References</w:t>
      </w:r>
    </w:p>
    <w:p>
      <w:r>
        <w:t>[F1] Mahindra &amp; Mahindra Ltd., Integrated Annual Report 2025–26, Board's Report financial highlights (page 98). Audited FY26/FY25 consolidated results, income, profit, tax and attributable earnings. URL: https://www.mahindra.com/annual-report-FY2026/98/</w:t>
      </w:r>
    </w:p>
    <w:p>
      <w:r>
        <w:t>[F2] Mahindra &amp; Mahindra Ltd., Integrated Annual Report 2025–26, Consolidated Statement of Cash Flows (page 397). Operating cash flow, capex on property, plant, equipment and intangible assets, and investing cash flows. URL: https://www.mahindra.com/annual-report-FY2026/397/</w:t>
      </w:r>
    </w:p>
    <w:p>
      <w:r>
        <w:t>[F3] Mahindra &amp; Mahindra, M&amp;M Results Q4 F26 and FY26, 5 May 2026. Reported FY26 consolidated revenue ₹198,639 crore, PAT ₹17,099 crore, ROE 20.1%, EPS ₹152.2, SUV and LCV market-share highlights. URL: https://www.mahindra.com/news-room/press-release/en/m-and-m-results-q4-f26-and-fy26</w:t>
      </w:r>
    </w:p>
    <w:p>
      <w:r>
        <w:t>[F4] NSE India, Mahindra &amp; Mahindra Limited quote and historical stock information. Exchange reference for market price, 52-week range and valuation snapshot; values change over time. URL: https://www.nseindia.com/get-quote/equity/M%26M/Mahindra-%26-Mahindra-Limited</w:t>
      </w:r>
    </w:p>
    <w:p>
      <w:r>
        <w:t>[F5] Mahindra &amp; Mahindra FY2025–26 Integrated Annual Report. Management narrative, sector overview, market share, segment and strategic context. URL: https://www.mahindra.com/annual-report-FY2026/index.html</w:t>
      </w:r>
    </w:p>
    <w:p>
      <w:r>
        <w:t>[T1] Yahoo Finance public historical market data interface (accessed at run time). Daily OHLCV data downloaded through yfinance; the script saves exact coverage metadata. Technical indicator results depend on the data source and observation date. URL: https://finance.yahoo.com/</w:t>
      </w:r>
    </w:p>
    <w:p>
      <w:r>
        <w:t>[P1] Maruti Suzuki India Ltd., annual report and financial disclosures. Peer company disclosures; peer price history is used only for market-performance context here. URL: https://www.marutisuzuki.com/corporate/investors</w:t>
      </w:r>
    </w:p>
    <w:p>
      <w:r>
        <w:t>Market-data run timestamp: 2026-10-13T19:33:38+00:00; requested history 5y; observed price range 2021-10-13 to 2026-10-12. Exact tickers and observations are in outputs/run_metadata.json.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