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r>
        <w:tc>
          <w:tcPr>
            <w:tcW w:type="dxa" w:w="3408"/>
          </w:tcPr>
          <w:p>
            <w:r>
              <w:t>Total assets FY25</w:t>
            </w:r>
          </w:p>
        </w:tc>
        <w:tc>
          <w:tcPr>
            <w:tcW w:type="dxa" w:w="3408"/>
          </w:tcPr>
          <w:p>
            <w:r>
              <w:t>₹277,586.27 cr</w:t>
            </w:r>
          </w:p>
        </w:tc>
        <w:tc>
          <w:tcPr>
            <w:tcW w:type="dxa" w:w="3408"/>
          </w:tcPr>
          <w:p>
            <w:r>
              <w:t>Audited consolidated balance sheet at 31 March 2025</w:t>
            </w:r>
          </w:p>
        </w:tc>
      </w:tr>
      <w:tr>
        <w:tc>
          <w:tcPr>
            <w:tcW w:type="dxa" w:w="3408"/>
          </w:tcPr>
          <w:p>
            <w:r>
              <w:t>Total assets FY26</w:t>
            </w:r>
          </w:p>
        </w:tc>
        <w:tc>
          <w:tcPr>
            <w:tcW w:type="dxa" w:w="3408"/>
          </w:tcPr>
          <w:p>
            <w:r>
              <w:t>₹317,634.64 cr</w:t>
            </w:r>
          </w:p>
        </w:tc>
        <w:tc>
          <w:tcPr>
            <w:tcW w:type="dxa" w:w="3408"/>
          </w:tcPr>
          <w:p>
            <w:r>
              <w:t>Audited consolidated balance sheet at 31 March 2026</w:t>
            </w:r>
          </w:p>
        </w:tc>
      </w:tr>
      <w:t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report visualizes the one-year high/low context (₹2,744.30–₹3,839.90) and five-year maximum drawdown of -28.1%. Those extrema are historical, not formal support/resistance levels; chart-based levels are zones, not precise guarantees.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2026-10-13T19:34:27+00:00;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