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Ratio / measure</w:t>
            </w:r>
          </w:p>
        </w:tc>
        <w:tc>
          <w:tcPr>
            <w:tcW w:type="dxa" w:w="3408"/>
          </w:tcPr>
          <w:p>
            <w:r>
              <w:t>Result</w:t>
            </w:r>
          </w:p>
        </w:tc>
        <w:tc>
          <w:tcPr>
            <w:tcW w:type="dxa" w:w="3408"/>
          </w:tcPr>
          <w:p>
            <w:r>
              <w:t>Formula / basis</w:t>
            </w:r>
          </w:p>
        </w:tc>
      </w:tr>
      <w:t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c>
          <w:tcPr>
            <w:tcW w:type="dxa" w:w="3408"/>
          </w:tcPr>
          <w:p>
            <w:r>
              <w:t>Owner PAT growth</w:t>
            </w:r>
          </w:p>
        </w:tc>
        <w:tc>
          <w:tcPr>
            <w:tcW w:type="dxa" w:w="3408"/>
          </w:tcPr>
          <w:p>
            <w:r>
              <w:t>32.25%</w:t>
            </w:r>
          </w:p>
        </w:tc>
        <w:tc>
          <w:tcPr>
            <w:tcW w:type="dxa" w:w="3408"/>
          </w:tcPr>
          <w:p>
            <w:r>
              <w:t>(FY26 owner PAT / FY25 owner PAT − 1) × 100</w:t>
            </w:r>
          </w:p>
        </w:tc>
      </w:tr>
      <w:tr>
        <w:tc>
          <w:tcPr>
            <w:tcW w:type="dxa" w:w="3408"/>
          </w:tcPr>
          <w:p>
            <w:r>
              <w:t>EBITDA-like margin FY25</w:t>
            </w:r>
          </w:p>
        </w:tc>
        <w:tc>
          <w:tcPr>
            <w:tcW w:type="dxa" w:w="3408"/>
          </w:tcPr>
          <w:p>
            <w:r>
              <w:t>20.54%</w:t>
            </w:r>
          </w:p>
        </w:tc>
        <w:tc>
          <w:tcPr>
            <w:tcW w:type="dxa" w:w="3408"/>
          </w:tcPr>
          <w:p>
            <w:r>
              <w:t>EBITDA-like subtotal / income from operations × 100</w:t>
            </w:r>
          </w:p>
        </w:tc>
      </w:tr>
      <w:tr>
        <w:tc>
          <w:tcPr>
            <w:tcW w:type="dxa" w:w="3408"/>
          </w:tcPr>
          <w:p>
            <w:r>
              <w:t>EBITDA-like margin FY26</w:t>
            </w:r>
          </w:p>
        </w:tc>
        <w:tc>
          <w:tcPr>
            <w:tcW w:type="dxa" w:w="3408"/>
          </w:tcPr>
          <w:p>
            <w:r>
              <w:t>20.35%</w:t>
            </w:r>
          </w:p>
        </w:tc>
        <w:tc>
          <w:tcPr>
            <w:tcW w:type="dxa" w:w="3408"/>
          </w:tcPr>
          <w:p>
            <w:r>
              <w:t>EBITDA-like subtotal / income from operations × 100</w:t>
            </w:r>
          </w:p>
        </w:tc>
      </w:tr>
      <w:tr>
        <w:tc>
          <w:tcPr>
            <w:tcW w:type="dxa" w:w="3408"/>
          </w:tcPr>
          <w:p>
            <w:r>
              <w:t>Owner PAT margin FY25</w:t>
            </w:r>
          </w:p>
        </w:tc>
        <w:tc>
          <w:tcPr>
            <w:tcW w:type="dxa" w:w="3408"/>
          </w:tcPr>
          <w:p>
            <w:r>
              <w:t>8.12%</w:t>
            </w:r>
          </w:p>
        </w:tc>
        <w:tc>
          <w:tcPr>
            <w:tcW w:type="dxa" w:w="3408"/>
          </w:tcPr>
          <w:p>
            <w:r>
              <w:t>Owner-attributable PAT / income from operations × 100</w:t>
            </w:r>
          </w:p>
        </w:tc>
      </w:tr>
      <w:tr>
        <w:tc>
          <w:tcPr>
            <w:tcW w:type="dxa" w:w="3408"/>
          </w:tcPr>
          <w:p>
            <w:r>
              <w:t>Owner PAT margin FY26</w:t>
            </w:r>
          </w:p>
        </w:tc>
        <w:tc>
          <w:tcPr>
            <w:tcW w:type="dxa" w:w="3408"/>
          </w:tcPr>
          <w:p>
            <w:r>
              <w:t>8.61%</w:t>
            </w:r>
          </w:p>
        </w:tc>
        <w:tc>
          <w:tcPr>
            <w:tcW w:type="dxa" w:w="3408"/>
          </w:tcPr>
          <w:p>
            <w:r>
              <w:t>Owner-attributable PAT / income from operations × 100</w:t>
            </w:r>
          </w:p>
        </w:tc>
      </w:tr>
      <w:tr>
        <w:tc>
          <w:tcPr>
            <w:tcW w:type="dxa" w:w="3408"/>
          </w:tcPr>
          <w:p>
            <w:r>
              <w:t>CFO change FY25 → FY26</w:t>
            </w:r>
          </w:p>
        </w:tc>
        <w:tc>
          <w:tcPr>
            <w:tcW w:type="dxa" w:w="3408"/>
          </w:tcPr>
          <w:p>
            <w:r>
              <w:t>267.1%</w:t>
            </w:r>
          </w:p>
        </w:tc>
        <w:tc>
          <w:tcPr>
            <w:tcW w:type="dxa" w:w="3408"/>
          </w:tcPr>
          <w:p>
            <w:r>
              <w:t>(FY26 CFO / FY25 CFO − 1) × 100; comparison is from a low base</w:t>
            </w:r>
          </w:p>
        </w:tc>
      </w:tr>
      <w:t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c>
          <w:tcPr>
            <w:tcW w:type="dxa" w:w="3408"/>
          </w:tcPr>
          <w:p>
            <w:r>
              <w:t>Company-reported EPS FY26</w:t>
            </w:r>
          </w:p>
        </w:tc>
        <w:tc>
          <w:tcPr>
            <w:tcW w:type="dxa" w:w="3408"/>
          </w:tcPr>
          <w:p>
            <w:r>
              <w:t>₹152.20</w:t>
            </w:r>
          </w:p>
        </w:tc>
        <w:tc>
          <w:tcPr>
            <w:tcW w:type="dxa" w:w="3408"/>
          </w:tcPr>
          <w:p>
            <w:r>
              <w:t>M&amp;M FY26 results release</w:t>
            </w:r>
          </w:p>
        </w:tc>
      </w:tr>
      <w:tr>
        <w:tc>
          <w:tcPr>
            <w:tcW w:type="dxa" w:w="3408"/>
          </w:tcPr>
          <w:p>
            <w:r>
              <w:t>Total assets FY25</w:t>
            </w:r>
          </w:p>
        </w:tc>
        <w:tc>
          <w:tcPr>
            <w:tcW w:type="dxa" w:w="3408"/>
          </w:tcPr>
          <w:p>
            <w:r>
              <w:t>₹277,586.27 cr</w:t>
            </w:r>
          </w:p>
        </w:tc>
        <w:tc>
          <w:tcPr>
            <w:tcW w:type="dxa" w:w="3408"/>
          </w:tcPr>
          <w:p>
            <w:r>
              <w:t>Audited consolidated balance sheet at 31 March 2025</w:t>
            </w:r>
          </w:p>
        </w:tc>
      </w:tr>
      <w:tr>
        <w:tc>
          <w:tcPr>
            <w:tcW w:type="dxa" w:w="3408"/>
          </w:tcPr>
          <w:p>
            <w:r>
              <w:t>Total assets FY26</w:t>
            </w:r>
          </w:p>
        </w:tc>
        <w:tc>
          <w:tcPr>
            <w:tcW w:type="dxa" w:w="3408"/>
          </w:tcPr>
          <w:p>
            <w:r>
              <w:t>₹317,634.64 cr</w:t>
            </w:r>
          </w:p>
        </w:tc>
        <w:tc>
          <w:tcPr>
            <w:tcW w:type="dxa" w:w="3408"/>
          </w:tcPr>
          <w:p>
            <w:r>
              <w:t>Audited consolidated balance sheet at 31 March 2026</w:t>
            </w:r>
          </w:p>
        </w:tc>
      </w:tr>
      <w:tr>
        <w:tc>
          <w:tcPr>
            <w:tcW w:type="dxa" w:w="3408"/>
          </w:tcPr>
          <w:p>
            <w:r>
              <w:t>Total current assets / current liabilities FY25</w:t>
            </w:r>
          </w:p>
        </w:tc>
        <w:tc>
          <w:tcPr>
            <w:tcW w:type="dxa" w:w="3408"/>
          </w:tcPr>
          <w:p>
            <w:r>
              <w:t>1.40x</w:t>
            </w:r>
          </w:p>
        </w:tc>
        <w:tc>
          <w:tcPr>
            <w:tcW w:type="dxa" w:w="3408"/>
          </w:tcPr>
          <w:p>
            <w:r>
              <w:t>Current assets divided by current liabilities; group-wide indicator only</w:t>
            </w:r>
          </w:p>
        </w:tc>
      </w:tr>
      <w:tr>
        <w:tc>
          <w:tcPr>
            <w:tcW w:type="dxa" w:w="3408"/>
          </w:tcPr>
          <w:p>
            <w:r>
              <w:t>Total current assets / current liabilities FY26</w:t>
            </w:r>
          </w:p>
        </w:tc>
        <w:tc>
          <w:tcPr>
            <w:tcW w:type="dxa" w:w="3408"/>
          </w:tcPr>
          <w:p>
            <w:r>
              <w:t>1.27x</w:t>
            </w:r>
          </w:p>
        </w:tc>
        <w:tc>
          <w:tcPr>
            <w:tcW w:type="dxa" w:w="3408"/>
          </w:tcPr>
          <w:p>
            <w:r>
              <w:t>Current assets divided by current liabilities; group-wide indicator only</w:t>
            </w:r>
          </w:p>
        </w:tc>
      </w:tr>
      <w:tr>
        <w:tc>
          <w:tcPr>
            <w:tcW w:type="dxa" w:w="3408"/>
          </w:tcPr>
          <w:p>
            <w:r>
              <w:t>Gross borrowings / total equity FY25</w:t>
            </w:r>
          </w:p>
        </w:tc>
        <w:tc>
          <w:tcPr>
            <w:tcW w:type="dxa" w:w="3408"/>
          </w:tcPr>
          <w:p>
            <w:r>
              <w:t>1.36x</w:t>
            </w:r>
          </w:p>
        </w:tc>
        <w:tc>
          <w:tcPr>
            <w:tcW w:type="dxa" w:w="3408"/>
          </w:tcPr>
          <w:p>
            <w:r>
              <w:t>Current plus non-current borrowings / total equity including NCI; not an industrial net-debt ratio</w:t>
            </w:r>
          </w:p>
        </w:tc>
      </w:tr>
      <w:tr>
        <w:tc>
          <w:tcPr>
            <w:tcW w:type="dxa" w:w="3408"/>
          </w:tcPr>
          <w:p>
            <w:r>
              <w:t>Gross borrowings / total equity FY26</w:t>
            </w:r>
          </w:p>
        </w:tc>
        <w:tc>
          <w:tcPr>
            <w:tcW w:type="dxa" w:w="3408"/>
          </w:tcPr>
          <w:p>
            <w:r>
              <w:t>1.18x</w:t>
            </w:r>
          </w:p>
        </w:tc>
        <w:tc>
          <w:tcPr>
            <w:tcW w:type="dxa" w:w="3408"/>
          </w:tcPr>
          <w:p>
            <w:r>
              <w:t>Current plus non-current borrowings / total equity including NCI; not an industrial net-debt ratio</w:t>
            </w:r>
          </w:p>
        </w:tc>
      </w:tr>
    </w:tbl>
    <w:p>
      <w:r>
        <w:t>The audited consolidated balance sheet reports total assets of ₹277,586.27 crore at March 2025 and ₹317,634.64 crore at March 2026; total equity including non-controlling interests increased from ₹89,098.00 crore to ₹109,491.00 crore. Total current assets / total current liabilities decreased from 1.40x to 1.27x, while current plus non-current borrowings divided by total equity decreased from approximately 1.36x to 1.18x [F6]. These are broad group ratios only: the group includes a large lending business, whose loans, funding and liquidity profile are fundamentally different from the inventory-and-trade-credit model of a vehicle manufacturer. They should not be interpreted as a standalone automotive working-capital or industrial gearing test.</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r>
        <w:br w:type="page"/>
      </w:r>
    </w:p>
    <w:p>
      <w:pPr>
        <w:pStyle w:val="Heading1"/>
      </w:pPr>
      <w:r>
        <w:t>3.6 Fundamental visualizations</w:t>
      </w:r>
    </w:p>
    <w:p>
      <w:pPr>
        <w:pStyle w:val="Heading2"/>
        <w:keepNext/>
      </w:pPr>
      <w:r>
        <w:t>Figure 1. Consolidated Income and Owner Profit</w:t>
      </w:r>
    </w:p>
    <w:p>
      <w:pPr>
        <w:keepLines/>
        <w:jc w:val="center"/>
      </w:pPr>
      <w:r>
        <w:drawing>
          <wp:inline xmlns:a="http://schemas.openxmlformats.org/drawingml/2006/main" xmlns:pic="http://schemas.openxmlformats.org/drawingml/2006/picture">
            <wp:extent cx="5394960" cy="3300446"/>
            <wp:docPr id="1" name="Picture 1"/>
            <wp:cNvGraphicFramePr>
              <a:graphicFrameLocks noChangeAspect="1"/>
            </wp:cNvGraphicFramePr>
            <a:graphic>
              <a:graphicData uri="http://schemas.openxmlformats.org/drawingml/2006/picture">
                <pic:pic>
                  <pic:nvPicPr>
                    <pic:cNvPr id="0" name="01_fundamental_revenue_profit.png"/>
                    <pic:cNvPicPr/>
                  </pic:nvPicPr>
                  <pic:blipFill>
                    <a:blip r:embed="rId9"/>
                    <a:stretch>
                      <a:fillRect/>
                    </a:stretch>
                  </pic:blipFill>
                  <pic:spPr>
                    <a:xfrm>
                      <a:off x="0" y="0"/>
                      <a:ext cx="5394960" cy="3300446"/>
                    </a:xfrm>
                    <a:prstGeom prst="rect"/>
                  </pic:spPr>
                </pic:pic>
              </a:graphicData>
            </a:graphic>
          </wp:inline>
        </w:drawing>
      </w:r>
    </w:p>
    <w:p>
      <w:pPr>
        <w:keepLines/>
      </w:pPr>
      <w:r>
        <w:t>Income from operations and profit attributable to owners both increased from FY25 to FY26. Read this together with margin changes; absolute growth alone does not explain returns or cash quality.</w:t>
      </w:r>
    </w:p>
    <w:p>
      <w:pPr>
        <w:pStyle w:val="Heading2"/>
        <w:keepNext/>
      </w:pPr>
      <w:r>
        <w:t>Figure 2. EBITDA-Like and Owner PAT Margins</w:t>
      </w:r>
    </w:p>
    <w:p>
      <w:pPr>
        <w:keepLines/>
        <w:jc w:val="center"/>
      </w:pPr>
      <w:r>
        <w:drawing>
          <wp:inline xmlns:a="http://schemas.openxmlformats.org/drawingml/2006/main" xmlns:pic="http://schemas.openxmlformats.org/drawingml/2006/picture">
            <wp:extent cx="5394960" cy="3300446"/>
            <wp:docPr id="2" name="Picture 2"/>
            <wp:cNvGraphicFramePr>
              <a:graphicFrameLocks noChangeAspect="1"/>
            </wp:cNvGraphicFramePr>
            <a:graphic>
              <a:graphicData uri="http://schemas.openxmlformats.org/drawingml/2006/picture">
                <pic:pic>
                  <pic:nvPicPr>
                    <pic:cNvPr id="0" name="02_fundamental_margins.png"/>
                    <pic:cNvPicPr/>
                  </pic:nvPicPr>
                  <pic:blipFill>
                    <a:blip r:embed="rId10"/>
                    <a:stretch>
                      <a:fillRect/>
                    </a:stretch>
                  </pic:blipFill>
                  <pic:spPr>
                    <a:xfrm>
                      <a:off x="0" y="0"/>
                      <a:ext cx="5394960" cy="3300446"/>
                    </a:xfrm>
                    <a:prstGeom prst="rect"/>
                  </pic:spPr>
                </pic:pic>
              </a:graphicData>
            </a:graphic>
          </wp:inline>
        </w:drawing>
      </w:r>
    </w:p>
    <w:p>
      <w:pPr>
        <w:keepLines/>
      </w:pPr>
      <w:r>
        <w:t>The report's explicitly defined EBITDA-like margin eased slightly while owner PAT margin improved. This emphasizes why multiple profit measures are needed.</w:t>
      </w:r>
    </w:p>
    <w:p>
      <w:r>
        <w:br w:type="page"/>
      </w:r>
    </w:p>
    <w:p>
      <w:pPr>
        <w:pStyle w:val="Heading2"/>
        <w:keepNext/>
      </w:pPr>
      <w:r>
        <w:t>Figure 3. Operating Cash Flow and Capex</w:t>
      </w:r>
    </w:p>
    <w:p>
      <w:pPr>
        <w:keepLines/>
        <w:jc w:val="center"/>
      </w:pPr>
      <w:r>
        <w:drawing>
          <wp:inline xmlns:a="http://schemas.openxmlformats.org/drawingml/2006/main" xmlns:pic="http://schemas.openxmlformats.org/drawingml/2006/picture">
            <wp:extent cx="5394960" cy="3300446"/>
            <wp:docPr id="3" name="Picture 3"/>
            <wp:cNvGraphicFramePr>
              <a:graphicFrameLocks noChangeAspect="1"/>
            </wp:cNvGraphicFramePr>
            <a:graphic>
              <a:graphicData uri="http://schemas.openxmlformats.org/drawingml/2006/picture">
                <pic:pic>
                  <pic:nvPicPr>
                    <pic:cNvPr id="0" name="03_cashflow_capex.png"/>
                    <pic:cNvPicPr/>
                  </pic:nvPicPr>
                  <pic:blipFill>
                    <a:blip r:embed="rId11"/>
                    <a:stretch>
                      <a:fillRect/>
                    </a:stretch>
                  </pic:blipFill>
                  <pic:spPr>
                    <a:xfrm>
                      <a:off x="0" y="0"/>
                      <a:ext cx="5394960" cy="3300446"/>
                    </a:xfrm>
                    <a:prstGeom prst="rect"/>
                  </pic:spPr>
                </pic:pic>
              </a:graphicData>
            </a:graphic>
          </wp:inline>
        </w:drawing>
      </w:r>
    </w:p>
    <w:p>
      <w:pPr>
        <w:keepLines/>
      </w:pPr>
      <w:r>
        <w:t>Operating cash flow rose strongly and PPE/intangible capex eased. CFO less capex is only a simplified proxy because consolidated cash flows include financial-services movements.</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one-year high/low context was ₹2,744.30–₹3,839.90; a rough recent 60-trading-day support/resistance proxy based on the last 90 calendar days is ₹2,744.30/₹3,534.60. The five-year maximum drawdown was -28.1%. These are historical zones, not precise guarantees or trade instructions.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r>
        <w:br w:type="page"/>
      </w:r>
    </w:p>
    <w:p>
      <w:pPr>
        <w:pStyle w:val="Heading1"/>
      </w:pPr>
      <w:r>
        <w:t>4.7 Technical visualizations</w:t>
      </w:r>
    </w:p>
    <w:p>
      <w:pPr>
        <w:pStyle w:val="Heading2"/>
        <w:keepNext/>
      </w:pPr>
      <w:r>
        <w:t>Figure 4. M&amp;M Price Trend and Moving Averages</w:t>
      </w:r>
    </w:p>
    <w:p>
      <w:pPr>
        <w:keepLines/>
        <w:jc w:val="center"/>
      </w:pPr>
      <w:r>
        <w:drawing>
          <wp:inline xmlns:a="http://schemas.openxmlformats.org/drawingml/2006/main" xmlns:pic="http://schemas.openxmlformats.org/drawingml/2006/picture">
            <wp:extent cx="5394960" cy="3129077"/>
            <wp:docPr id="4" name="Picture 4"/>
            <wp:cNvGraphicFramePr>
              <a:graphicFrameLocks noChangeAspect="1"/>
            </wp:cNvGraphicFramePr>
            <a:graphic>
              <a:graphicData uri="http://schemas.openxmlformats.org/drawingml/2006/picture">
                <pic:pic>
                  <pic:nvPicPr>
                    <pic:cNvPr id="0" name="04_price_moving_averages.png"/>
                    <pic:cNvPicPr/>
                  </pic:nvPicPr>
                  <pic:blipFill>
                    <a:blip r:embed="rId12"/>
                    <a:stretch>
                      <a:fillRect/>
                    </a:stretch>
                  </pic:blipFill>
                  <pic:spPr>
                    <a:xfrm>
                      <a:off x="0" y="0"/>
                      <a:ext cx="5394960" cy="3129077"/>
                    </a:xfrm>
                    <a:prstGeom prst="rect"/>
                  </pic:spPr>
                </pic:pic>
              </a:graphicData>
            </a:graphic>
          </wp:inline>
        </w:drawing>
      </w:r>
    </w:p>
    <w:p>
      <w:pPr>
        <w:keepLines/>
      </w:pPr>
      <w:r>
        <w:t>The closing price is plotted with 20-, 50- and 200-day moving averages. The three averages provide short-, medium- and long-horizon trend context; they lag price and should not be used in isolation.</w:t>
      </w:r>
    </w:p>
    <w:p>
      <w:pPr>
        <w:pStyle w:val="Heading2"/>
        <w:keepNext/>
      </w:pPr>
      <w:r>
        <w:t>Figure 5. RSI (14)</w:t>
      </w:r>
    </w:p>
    <w:p>
      <w:pPr>
        <w:keepLines/>
        <w:jc w:val="center"/>
      </w:pPr>
      <w:r>
        <w:drawing>
          <wp:inline xmlns:a="http://schemas.openxmlformats.org/drawingml/2006/main" xmlns:pic="http://schemas.openxmlformats.org/drawingml/2006/picture">
            <wp:extent cx="5394960" cy="2319833"/>
            <wp:docPr id="5" name="Picture 5"/>
            <wp:cNvGraphicFramePr>
              <a:graphicFrameLocks noChangeAspect="1"/>
            </wp:cNvGraphicFramePr>
            <a:graphic>
              <a:graphicData uri="http://schemas.openxmlformats.org/drawingml/2006/picture">
                <pic:pic>
                  <pic:nvPicPr>
                    <pic:cNvPr id="0" name="05_rsi14.png"/>
                    <pic:cNvPicPr/>
                  </pic:nvPicPr>
                  <pic:blipFill>
                    <a:blip r:embed="rId13"/>
                    <a:stretch>
                      <a:fillRect/>
                    </a:stretch>
                  </pic:blipFill>
                  <pic:spPr>
                    <a:xfrm>
                      <a:off x="0" y="0"/>
                      <a:ext cx="5394960" cy="2319833"/>
                    </a:xfrm>
                    <a:prstGeom prst="rect"/>
                  </pic:spPr>
                </pic:pic>
              </a:graphicData>
            </a:graphic>
          </wp:inline>
        </w:drawing>
      </w:r>
    </w:p>
    <w:p>
      <w:pPr>
        <w:keepLines/>
      </w:pPr>
      <w:r>
        <w:t>RSI near/below 30 is conventionally called oversold, but this is not a buy signal. Momentum indicators can remain depressed in strong downtrends.</w:t>
      </w:r>
    </w:p>
    <w:p>
      <w:r>
        <w:br w:type="page"/>
      </w:r>
    </w:p>
    <w:p>
      <w:pPr>
        <w:pStyle w:val="Heading2"/>
        <w:keepNext/>
      </w:pPr>
      <w:r>
        <w:t>Figure 6. MACD Momentum</w:t>
      </w:r>
    </w:p>
    <w:p>
      <w:pPr>
        <w:keepLines/>
        <w:jc w:val="center"/>
      </w:pPr>
      <w:r>
        <w:drawing>
          <wp:inline xmlns:a="http://schemas.openxmlformats.org/drawingml/2006/main" xmlns:pic="http://schemas.openxmlformats.org/drawingml/2006/picture">
            <wp:extent cx="5394960" cy="2319833"/>
            <wp:docPr id="6" name="Picture 6"/>
            <wp:cNvGraphicFramePr>
              <a:graphicFrameLocks noChangeAspect="1"/>
            </wp:cNvGraphicFramePr>
            <a:graphic>
              <a:graphicData uri="http://schemas.openxmlformats.org/drawingml/2006/picture">
                <pic:pic>
                  <pic:nvPicPr>
                    <pic:cNvPr id="0" name="06_macd.png"/>
                    <pic:cNvPicPr/>
                  </pic:nvPicPr>
                  <pic:blipFill>
                    <a:blip r:embed="rId14"/>
                    <a:stretch>
                      <a:fillRect/>
                    </a:stretch>
                  </pic:blipFill>
                  <pic:spPr>
                    <a:xfrm>
                      <a:off x="0" y="0"/>
                      <a:ext cx="5394960" cy="2319833"/>
                    </a:xfrm>
                    <a:prstGeom prst="rect"/>
                  </pic:spPr>
                </pic:pic>
              </a:graphicData>
            </a:graphic>
          </wp:inline>
        </w:drawing>
      </w:r>
    </w:p>
    <w:p>
      <w:pPr>
        <w:keepLines/>
      </w:pPr>
      <w:r>
        <w:t>The MACD line below its signal line indicates weaker recent momentum under this rule. False crosses occur, particularly when price is moving sideways.</w:t>
      </w:r>
    </w:p>
    <w:p>
      <w:pPr>
        <w:pStyle w:val="Heading2"/>
        <w:keepNext/>
      </w:pPr>
      <w:r>
        <w:t>Figure 7. Bollinger Bands</w:t>
      </w:r>
    </w:p>
    <w:p>
      <w:pPr>
        <w:keepLines/>
        <w:jc w:val="center"/>
      </w:pPr>
      <w:r>
        <w:drawing>
          <wp:inline xmlns:a="http://schemas.openxmlformats.org/drawingml/2006/main" xmlns:pic="http://schemas.openxmlformats.org/drawingml/2006/picture">
            <wp:extent cx="5394960" cy="2859329"/>
            <wp:docPr id="7" name="Picture 7"/>
            <wp:cNvGraphicFramePr>
              <a:graphicFrameLocks noChangeAspect="1"/>
            </wp:cNvGraphicFramePr>
            <a:graphic>
              <a:graphicData uri="http://schemas.openxmlformats.org/drawingml/2006/picture">
                <pic:pic>
                  <pic:nvPicPr>
                    <pic:cNvPr id="0" name="07_bollinger_bands.png"/>
                    <pic:cNvPicPr/>
                  </pic:nvPicPr>
                  <pic:blipFill>
                    <a:blip r:embed="rId15"/>
                    <a:stretch>
                      <a:fillRect/>
                    </a:stretch>
                  </pic:blipFill>
                  <pic:spPr>
                    <a:xfrm>
                      <a:off x="0" y="0"/>
                      <a:ext cx="5394960" cy="2859329"/>
                    </a:xfrm>
                    <a:prstGeom prst="rect"/>
                  </pic:spPr>
                </pic:pic>
              </a:graphicData>
            </a:graphic>
          </wp:inline>
        </w:drawing>
      </w:r>
    </w:p>
    <w:p>
      <w:pPr>
        <w:keepLines/>
      </w:pPr>
      <w:r>
        <w:t>The band width describes recent volatility. A touch of a band is not by itself a reversal signal; price can track a band during a persistent trend.</w:t>
      </w:r>
    </w:p>
    <w:p>
      <w:r>
        <w:br w:type="page"/>
      </w:r>
    </w:p>
    <w:p>
      <w:pPr>
        <w:pStyle w:val="Heading2"/>
        <w:keepNext/>
      </w:pPr>
      <w:r>
        <w:t>Figure 8. Trading Volume</w:t>
      </w:r>
    </w:p>
    <w:p>
      <w:pPr>
        <w:keepLines/>
        <w:jc w:val="center"/>
      </w:pPr>
      <w:r>
        <w:drawing>
          <wp:inline xmlns:a="http://schemas.openxmlformats.org/drawingml/2006/main" xmlns:pic="http://schemas.openxmlformats.org/drawingml/2006/picture">
            <wp:extent cx="5394960" cy="2373782"/>
            <wp:docPr id="8" name="Picture 8"/>
            <wp:cNvGraphicFramePr>
              <a:graphicFrameLocks noChangeAspect="1"/>
            </wp:cNvGraphicFramePr>
            <a:graphic>
              <a:graphicData uri="http://schemas.openxmlformats.org/drawingml/2006/picture">
                <pic:pic>
                  <pic:nvPicPr>
                    <pic:cNvPr id="0" name="08_volume.png"/>
                    <pic:cNvPicPr/>
                  </pic:nvPicPr>
                  <pic:blipFill>
                    <a:blip r:embed="rId16"/>
                    <a:stretch>
                      <a:fillRect/>
                    </a:stretch>
                  </pic:blipFill>
                  <pic:spPr>
                    <a:xfrm>
                      <a:off x="0" y="0"/>
                      <a:ext cx="5394960" cy="2373782"/>
                    </a:xfrm>
                    <a:prstGeom prst="rect"/>
                  </pic:spPr>
                </pic:pic>
              </a:graphicData>
            </a:graphic>
          </wp:inline>
        </w:drawing>
      </w:r>
    </w:p>
    <w:p>
      <w:pPr>
        <w:keepLines/>
      </w:pPr>
      <w:r>
        <w:t>Volume is compared with its 20-session average to help assess participation behind moves. Single-day volume may be distorted by block trades or data-provider conventions.</w:t>
      </w:r>
    </w:p>
    <w:p>
      <w:pPr>
        <w:pStyle w:val="Heading2"/>
        <w:keepNext/>
      </w:pPr>
      <w:r>
        <w:t>Figure 9. Three-Year Relative Price Performance</w:t>
      </w:r>
    </w:p>
    <w:p>
      <w:pPr>
        <w:keepLines/>
        <w:jc w:val="center"/>
      </w:pPr>
      <w:r>
        <w:drawing>
          <wp:inline xmlns:a="http://schemas.openxmlformats.org/drawingml/2006/main" xmlns:pic="http://schemas.openxmlformats.org/drawingml/2006/picture">
            <wp:extent cx="5394960" cy="2967228"/>
            <wp:docPr id="9" name="Picture 9"/>
            <wp:cNvGraphicFramePr>
              <a:graphicFrameLocks noChangeAspect="1"/>
            </wp:cNvGraphicFramePr>
            <a:graphic>
              <a:graphicData uri="http://schemas.openxmlformats.org/drawingml/2006/picture">
                <pic:pic>
                  <pic:nvPicPr>
                    <pic:cNvPr id="0" name="09_relative_performance.png"/>
                    <pic:cNvPicPr/>
                  </pic:nvPicPr>
                  <pic:blipFill>
                    <a:blip r:embed="rId17"/>
                    <a:stretch>
                      <a:fillRect/>
                    </a:stretch>
                  </pic:blipFill>
                  <pic:spPr>
                    <a:xfrm>
                      <a:off x="0" y="0"/>
                      <a:ext cx="5394960" cy="2967228"/>
                    </a:xfrm>
                    <a:prstGeom prst="rect"/>
                  </pic:spPr>
                </pic:pic>
              </a:graphicData>
            </a:graphic>
          </wp:inline>
        </w:drawing>
      </w:r>
    </w:p>
    <w:p>
      <w:pPr>
        <w:keepLines/>
      </w:pPr>
      <w:r>
        <w:t>M&amp;M, Maruti Suzuki and Nifty 50 are rebased to 100 for easier comparison. Different business mixes and the use of price returns limit direct conclusions.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[F6] Mahindra &amp; Mahindra audited FY26 consolidated balance sheet, in Q4 FY26 results PDF. Total assets, equity, current assets/liabilities and current/non-current borrowings at 31 March 2026 and 31 March 2025. URL: https://www.mahindra.com/sites/default/files/2026-05/Outcome%20of%20Board%20Meeting%20and%20Financial%20Results%20-%205th%20May%202026.pdf</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2026-10-13T19:37:03+00:00;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