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2"/>
        </w:rPr>
        <w:t>WEEK 5 TASK</w:t>
      </w:r>
    </w:p>
    <w:p>
      <w:pPr>
        <w:pStyle w:val="Title"/>
        <w:jc w:val="center"/>
      </w:pPr>
      <w:r>
        <w:t>Submission Description</w:t>
      </w:r>
    </w:p>
    <w:p>
      <w:pPr>
        <w:jc w:val="center"/>
      </w:pPr>
      <w:r>
        <w:t>Comprehensive Data Science Project Reporting and Strategic Recommendations</w:t>
      </w:r>
    </w:p>
    <w:p>
      <w:pPr>
        <w:spacing w:after="200" w:line="269" w:lineRule="auto"/>
      </w:pPr>
      <w:r>
        <w:t>This Week 5 capstone report integrates the work completed across the previous four weeks into one comprehensive data-science project using the official Student Performance Mathematics dataset from the UCI Machine Learning Repository. It combines data acquisition and cleaning, exploratory analysis, visualization storytelling, statistical hypothesis testing, machine-learning model development, interpretation, and strategic recommendations. The central question is what the historical records can reliably tell us about student outcomes and whether non-grade information can usefully identify students who reach a descriptive final Mathematics grade threshold of 10 out of 20.</w:t>
      </w:r>
    </w:p>
    <w:p>
      <w:pPr>
        <w:spacing w:after="200" w:line="269" w:lineRule="auto"/>
      </w:pPr>
      <w:r>
        <w:t>The report documents the dataset source, preparation steps, quality audit, methods, assumptions, results, visualizations, and code workflow. The official data are checked for duplicates, missing target values, and implausible grade ranges. The exploratory section summarizes grade distributions, differences across the three grading periods, relationships with absence counts, study-time categories, and prior failure history. The statistical section tests whether the mean final grade differs between students with no prior failures and those with one or more previous failures. It reports Welch's t-test, a 95% confidence interval, Hedges' g, a Mann–Whitney sensitivity test, a chi-square test of threshold attainment, and an exploratory Kruskal–Wallis test for study-time categories.</w:t>
      </w:r>
    </w:p>
    <w:p>
      <w:pPr>
        <w:spacing w:after="200" w:line="269" w:lineRule="auto"/>
      </w:pPr>
      <w:r>
        <w:t>The modeling section compares a dummy baseline, Logistic Regression, a Decision Tree, and a Random Forest using stratified cross-validation on the training split. The selected model is evaluated on a held-out test set with accuracy, balanced accuracy, precision, recall, F1, ROC-AUC, and a confusion matrix. Earlier grades G1 and G2 are excluded from predictors to reduce target leakage. The report interprets the modest test-set discrimination cautiously and recommends against deploying this prototype for high-stakes individual decisions.</w:t>
      </w:r>
    </w:p>
    <w:p>
      <w:pPr>
        <w:spacing w:after="200" w:line="269" w:lineRule="auto"/>
      </w:pPr>
      <w:r>
        <w:t>Strategic recommendations focus on supportive early review for students who may need help, better longitudinal data collection, validation on larger and more diverse school populations, and fairness/privacy checks before any practical use. The report also explains limitations, potential sources of error, and future improvements. The repository includes code, dependencies, metrics, audit files, visualizations, and editable Word documents to support reproducibility.</w:t>
      </w:r>
    </w:p>
    <w:p>
      <w:pPr>
        <w:jc w:val="right"/>
      </w:pPr>
      <w:r>
        <w:rPr>
          <w:i/>
          <w:sz w:val="18"/>
        </w:rPr>
        <w:t>Word count: 329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