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400"/>
          <w:sz w:val="22"/>
        </w:rPr>
        <w:t>AUTOMOTIVE STOCK MARKET ANALYSIS INTERN</w:t>
      </w:r>
    </w:p>
    <w:p>
      <w:pPr>
        <w:pStyle w:val="Title"/>
        <w:jc w:val="center"/>
      </w:pPr>
      <w:r>
        <w:t>Task 1 — Submission Description</w:t>
      </w:r>
    </w:p>
    <w:p>
      <w:pPr>
        <w:spacing w:after="200" w:line="269" w:lineRule="auto"/>
      </w:pPr>
      <w:r>
        <w:t>This report presents a comprehensive overview of the Indian automotive stock market, combining historical stock-price analysis with industry research, macroeconomic drivers, policy developments, and company-level context. The aim is to explain how the listed automotive sector has behaved over time, why automotive businesses may respond differently to the same economic conditions, and what indicators an analyst should monitor when evaluating the sector. The report is prepared for an Automotive Stock Market Analysis Intern task and uses publicly accessible market and industry sources.</w:t>
      </w:r>
    </w:p>
    <w:p>
      <w:pPr>
        <w:spacing w:after="200" w:line="269" w:lineRule="auto"/>
      </w:pPr>
      <w:r>
        <w:t>The quantitative section downloads up to five years of daily price history for the Nifty Auto index, Nifty 50 benchmark, and a representative group of listed companies including Maruti Suzuki, Mahindra &amp; Mahindra, Bajaj Auto, Eicher Motors, Hero MotoCorp, TVS Motor, Ashok Leyland, Bharat Forge, Bosch, and Exide Industries. It calculates one-year, three-year, five-year, and year-to-date returns where sufficient data exist, annualized volatility, maximum drawdown, and relationships with the sector and broad-market benchmarks. Charts visualize indexed price trends, relative returns, risk and return, drawdowns, correlations, and monthly performance. The report explains the formulas, data coverage, adjusted-price convention, and limits of comparing individual stocks with price indices.</w:t>
      </w:r>
    </w:p>
    <w:p>
      <w:pPr>
        <w:spacing w:after="200" w:line="269" w:lineRule="auto"/>
      </w:pPr>
      <w:r>
        <w:t>The industry section uses Society of Indian Automobile Manufacturers (SIAM) publications to describe FY2025–26 segment performance and the August 2026 industry update. It also reviews the September 2025 GST rate rationalization, the PM E-DRIVE policy dashboard and 2026 scheme updates, Maruti Suzuki's FY2025–26 results, and recent announcements concerning investment and export-oriented manufacturing. The analysis explains the influence of consumer demand, rural income, interest rates and vehicle financing, fuel and commodity prices, currency movements, exports, regulation, electrification, product mix, capacity, margins, and valuation expectations.</w:t>
      </w:r>
    </w:p>
    <w:p>
      <w:pPr>
        <w:spacing w:after="200" w:line="269" w:lineRule="auto"/>
      </w:pPr>
      <w:r>
        <w:t>The findings are translated into an analyst watchlist and strategic recommendations rather than short-term price predictions. The report distinguishes market data from business context, describes uncertainty and data limitations, and emphasizes that past performance does not guarantee future results. The repository includes the Python analysis script, requirements, output tables, chart files, run metadata, Word report, and this submission description so the work can be reproduced and reviewed.</w:t>
      </w:r>
    </w:p>
    <w:p>
      <w:pPr>
        <w:jc w:val="right"/>
      </w:pPr>
      <w:r>
        <w:rPr>
          <w:i/>
          <w:sz w:val="18"/>
        </w:rPr>
        <w:t>Word count: 338</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