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6A00"/>
          <w:sz w:val="22"/>
        </w:rPr>
        <w:t>WEEK 2 TASK</w:t>
      </w:r>
    </w:p>
    <w:p>
      <w:pPr>
        <w:pStyle w:val="Title"/>
        <w:jc w:val="center"/>
      </w:pPr>
      <w:r>
        <w:t>Submission Description</w:t>
      </w:r>
    </w:p>
    <w:p>
      <w:pPr>
        <w:jc w:val="center"/>
      </w:pPr>
      <w:r>
        <w:t>Advanced Data Visualization and Storytelling with Python</w:t>
      </w:r>
    </w:p>
    <w:p>
      <w:pPr>
        <w:spacing w:after="200" w:line="269" w:lineRule="auto"/>
      </w:pPr>
      <w:r>
        <w:t>This Week 2 project demonstrates advanced data visualization and storytelling with Python using the official Student Performance Mathematics dataset from the UCI Machine Learning Repository. Instead of presenting disconnected charts, the report follows a clear narrative: it introduces the grade distribution, explores changes across the three grading periods, compares study-time categories, and examines the relationships between final grades, previous grades, absences, and prior failures. The purpose is to help a non-technical reader understand both the main patterns and the limits of the evidence.</w:t>
      </w:r>
    </w:p>
    <w:p>
      <w:pPr>
        <w:spacing w:after="200" w:line="269" w:lineRule="auto"/>
      </w:pPr>
      <w:r>
        <w:t>The analysis uses Pandas and NumPy to prepare and summarize the data, and Matplotlib and Seaborn to produce seven visualizations. The figures include a final-grade distribution with reference lines, grade distributions across periods, a relationship plot for second-period and final grades, a comparison of grades across weekly study-time categories, a density-based view of absences and final grades, pass-rate comparisons by previous failure count, and a correlation heatmap. Each chart includes a descriptive title, axis labels, a caption, and an explanation of why that visual form was selected. The Word report also discusses the order of the charts and how each contributes to the overall story.</w:t>
      </w:r>
    </w:p>
    <w:p>
      <w:pPr>
        <w:spacing w:after="200" w:line="269" w:lineRule="auto"/>
      </w:pPr>
      <w:r>
        <w:t>Key findings are calculated directly from the official data during execution. The report compares group averages and pass rates, quantifies correlations, and translates the results into cautious educational implications. It clearly distinguishes association from causation, explains that earlier grades are highly informative partly because they are measured within the same course timeline, and notes that the dataset comes from two Portuguese secondary schools. Therefore, the findings should not automatically be generalized to all students. The project includes the source code, requirements, data-source attribution, computed metrics, visualizations, and an editable Word report so the work can be reproduced and reviewed.</w:t>
      </w:r>
    </w:p>
    <w:p>
      <w:pPr>
        <w:jc w:val="right"/>
      </w:pPr>
      <w:r>
        <w:rPr>
          <w:i/>
          <w:sz w:val="18"/>
        </w:rPr>
        <w:t>Word count: 287</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