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E86A00"/>
          <w:sz w:val="22"/>
        </w:rPr>
        <w:t>WEEK 3 TASK</w:t>
      </w:r>
    </w:p>
    <w:p>
      <w:pPr>
        <w:pStyle w:val="Title"/>
        <w:jc w:val="center"/>
      </w:pPr>
      <w:r>
        <w:t>Submission Description</w:t>
      </w:r>
    </w:p>
    <w:p>
      <w:pPr>
        <w:jc w:val="center"/>
      </w:pPr>
      <w:r>
        <w:t>Statistical Analysis and Hypothesis Testing in Python</w:t>
      </w:r>
    </w:p>
    <w:p>
      <w:pPr>
        <w:spacing w:after="200" w:line="269" w:lineRule="auto"/>
      </w:pPr>
      <w:r>
        <w:t>This Week 3 project performs statistical analysis and hypothesis testing using Python and the official Student Performance Mathematics dataset from the UCI Machine Learning Repository. The research question is whether students who have no previous class failures have higher final Mathematics grades than students who have one or more previous failures. The null hypothesis states that the mean final grade is equal between the two groups; the alternative hypothesis states that the no-previous-failure group has a higher mean. The significance level is set at 0.05 before the analysis.</w:t>
      </w:r>
    </w:p>
    <w:p>
      <w:pPr>
        <w:spacing w:after="200" w:line="269" w:lineRule="auto"/>
      </w:pPr>
      <w:r>
        <w:t>The script acquires the official UCI source data, verifies required fields, checks duplicates and missing values, safely converts numeric variables, validates grade and study-time ranges, and records the cleaning decisions in an audit file. The primary method is a one-sided Welch independent-samples t-test, chosen because it does not require equal population variances. The report also computes a two-sided 95% confidence interval for the difference in means, Hedges' g as a standardized effect size, and a Mann–Whitney U sensitivity test to assess whether the direction of evidence is similar under a rank-based method.</w:t>
      </w:r>
    </w:p>
    <w:p>
      <w:pPr>
        <w:spacing w:after="200" w:line="269" w:lineRule="auto"/>
      </w:pPr>
      <w:r>
        <w:t>A secondary chi-square test of independence evaluates the relationship between previous-failure status and reaching the descriptive final-grade threshold of 10 out of 20. Cramér's V summarizes the association strength. An exploratory Kruskal–Wallis test compares grade distributions across the four weekly study-time categories. Six visualizations support interpretation, including grade distributions by failure history, mean grades with confidence intervals, threshold-attainment rates, Q–Q diagnostic plots, study-time group comparisons, and a test-summary plot. The Word report documents hypotheses, methodology, p-values, confidence intervals, effect sizes, results, limitations, and implications. The analysis is observational: statistically significant associations do not show that previous failures or study habits cause later outcomes. The dataset represents students from two Portuguese secondary schools, which limits generalization. Code, dependencies, computed metrics, charts, audit data, and an editable Word report are included for reproducibility.</w:t>
      </w:r>
    </w:p>
    <w:p>
      <w:pPr>
        <w:jc w:val="right"/>
      </w:pPr>
      <w:r>
        <w:rPr>
          <w:i/>
          <w:sz w:val="18"/>
        </w:rPr>
        <w:t>Word count: 311</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