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1C1EA" w14:textId="77777777" w:rsidR="006A490E" w:rsidRDefault="00000000">
      <w:pPr>
        <w:spacing w:after="40"/>
      </w:pPr>
      <w:r>
        <w:rPr>
          <w:rFonts w:ascii="Arial" w:hAnsi="Arial"/>
          <w:b/>
          <w:color w:val="003366"/>
          <w:sz w:val="34"/>
        </w:rPr>
        <w:t>Section 2: Innovation Assessment</w:t>
      </w:r>
    </w:p>
    <w:p w14:paraId="17491197" w14:textId="77777777" w:rsidR="006A490E" w:rsidRDefault="00000000">
      <w:pPr>
        <w:spacing w:after="120"/>
      </w:pPr>
      <w:r>
        <w:rPr>
          <w:rFonts w:ascii="Arial" w:hAnsi="Arial"/>
          <w:b/>
          <w:color w:val="46505F"/>
        </w:rPr>
        <w:t>Architectural Evolution &amp; Strategic Roadmap for Secure Government Environments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84"/>
        <w:gridCol w:w="5184"/>
      </w:tblGrid>
      <w:tr w:rsidR="006A490E" w14:paraId="179E0F17" w14:textId="77777777">
        <w:trPr>
          <w:jc w:val="center"/>
        </w:trPr>
        <w:tc>
          <w:tcPr>
            <w:tcW w:w="5184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490C4" w14:textId="77777777" w:rsidR="006A490E" w:rsidRDefault="00000000">
            <w:pPr>
              <w:spacing w:after="40"/>
            </w:pPr>
            <w:r>
              <w:rPr>
                <w:b/>
                <w:sz w:val="18"/>
              </w:rPr>
              <w:t xml:space="preserve">Author: </w:t>
            </w:r>
            <w:hyperlink r:id="rId6">
              <w:r>
                <w:rPr>
                  <w:color w:val="004B87"/>
                  <w:u w:val="single"/>
                </w:rPr>
                <w:t>Rohit Kumar Srivastava (LinkedIn)</w:t>
              </w:r>
            </w:hyperlink>
          </w:p>
        </w:tc>
        <w:tc>
          <w:tcPr>
            <w:tcW w:w="5184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90E9" w14:textId="77777777" w:rsidR="006A490E" w:rsidRDefault="00000000">
            <w:pPr>
              <w:spacing w:after="40"/>
            </w:pPr>
            <w:r>
              <w:rPr>
                <w:b/>
                <w:sz w:val="18"/>
              </w:rPr>
              <w:t xml:space="preserve">Repository: </w:t>
            </w:r>
            <w:hyperlink r:id="rId7">
              <w:r>
                <w:rPr>
                  <w:color w:val="004B87"/>
                  <w:u w:val="single"/>
                </w:rPr>
                <w:t>Agentic-Policy-Analytics (GitHub)</w:t>
              </w:r>
            </w:hyperlink>
          </w:p>
        </w:tc>
      </w:tr>
      <w:tr w:rsidR="006A490E" w14:paraId="1101F36D" w14:textId="77777777">
        <w:trPr>
          <w:jc w:val="center"/>
        </w:trPr>
        <w:tc>
          <w:tcPr>
            <w:tcW w:w="5184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5B408" w14:textId="77777777" w:rsidR="006A490E" w:rsidRDefault="00000000">
            <w:pPr>
              <w:spacing w:after="40"/>
            </w:pPr>
            <w:r>
              <w:rPr>
                <w:b/>
                <w:sz w:val="18"/>
              </w:rPr>
              <w:t xml:space="preserve">Target Context: </w:t>
            </w:r>
            <w:r>
              <w:rPr>
                <w:sz w:val="18"/>
              </w:rPr>
              <w:t>Singapore Public Sector, WOG, GovTech SG, IMDA</w:t>
            </w:r>
          </w:p>
        </w:tc>
        <w:tc>
          <w:tcPr>
            <w:tcW w:w="5184" w:type="dxa"/>
            <w:shd w:val="clear" w:color="auto" w:fill="F1F5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661B" w14:textId="77777777" w:rsidR="006A490E" w:rsidRDefault="00000000">
            <w:pPr>
              <w:spacing w:after="40"/>
            </w:pPr>
            <w:r>
              <w:rPr>
                <w:b/>
                <w:sz w:val="18"/>
              </w:rPr>
              <w:t xml:space="preserve">Document Scope: </w:t>
            </w:r>
            <w:r>
              <w:rPr>
                <w:sz w:val="18"/>
              </w:rPr>
              <w:t>Executive Engineering &amp; Innovation Strategy Brief</w:t>
            </w:r>
          </w:p>
        </w:tc>
      </w:tr>
    </w:tbl>
    <w:p w14:paraId="12E4595E" w14:textId="77777777" w:rsidR="006A490E" w:rsidRDefault="00000000">
      <w:pPr>
        <w:spacing w:before="160" w:after="60"/>
      </w:pPr>
      <w:r>
        <w:rPr>
          <w:rFonts w:ascii="Arial" w:hAnsi="Arial"/>
          <w:b/>
          <w:color w:val="003366"/>
        </w:rPr>
        <w:t>1. Executive Summary &amp; Implemented Baseline</w:t>
      </w:r>
    </w:p>
    <w:p w14:paraId="5D452A89" w14:textId="77777777" w:rsidR="006A490E" w:rsidRDefault="00000000">
      <w:pPr>
        <w:spacing w:after="100" w:line="252" w:lineRule="auto"/>
      </w:pPr>
      <w:r>
        <w:rPr>
          <w:rFonts w:ascii="Calibri" w:hAnsi="Calibri"/>
          <w:sz w:val="19"/>
        </w:rPr>
        <w:t>The Agentic Policy Data Analytics Platform demonstrates a production-grade multi-agent foundation for automated public policy synthesis across Singapore government repositories. Operating in Whole-of-Government (WOG) secure environments (under GCC 2.0 and IM8 standards) requires transitioning from a single-machine prototype to an air-gapped, privacy-preserving, and sovereign intelligence backplane. This document articulates concrete architectural evolutions directly grounded in our implementation.</w:t>
      </w:r>
    </w:p>
    <w:p w14:paraId="417DBD3C" w14:textId="77777777" w:rsidR="006A490E" w:rsidRDefault="00000000">
      <w:pPr>
        <w:spacing w:before="120" w:after="60"/>
      </w:pPr>
      <w:r>
        <w:rPr>
          <w:rFonts w:ascii="Arial" w:hAnsi="Arial"/>
          <w:b/>
          <w:color w:val="003366"/>
        </w:rPr>
        <w:t>2. Concrete Architectural Evolutions for Secure Government Environments</w:t>
      </w:r>
    </w:p>
    <w:p w14:paraId="0FD17D1E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A. Agent Intelligence, Dynamic Planning &amp; Self-Correction</w:t>
      </w:r>
    </w:p>
    <w:p w14:paraId="72B9A4F6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Our DataCoordinatorAgent evaluates query boundaries and dynamically delegates parameterized subtasks (sector, start_year, end_year) to the DataExtractionAgent.</w:t>
      </w:r>
      <w:r>
        <w:rPr>
          <w:rFonts w:ascii="Calibri" w:hAnsi="Calibri"/>
          <w:sz w:val="18"/>
        </w:rPr>
        <w:br/>
        <w:t>Evolution: Upgrade to a Supervisor-Critic Architecture where an autonomous Critic Agent evaluates intermediate SQL/Pandas outputs for anomalies. If an external API endpoint changes or exhibits schema drift, the Extraction Agent executes autonomous schema reconciliation in an isolated gVisor/Wasm sandbox, self-testing transformations against historical snapshots before reporting.</w:t>
      </w:r>
    </w:p>
    <w:p w14:paraId="56FA72FE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B. Real-World Data Challenges: Incomplete Data, Schema Drift &amp; Privacy Enclaves</w:t>
      </w:r>
    </w:p>
    <w:p w14:paraId="611A5D67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Our DataQualityEngine performs snake_case normalization, time-series forward fill, median imputation, and 2.5xIQR outlier capping, reporting unconstrained empirical completeness.</w:t>
      </w:r>
      <w:r>
        <w:rPr>
          <w:rFonts w:ascii="Calibri" w:hAnsi="Calibri"/>
          <w:sz w:val="18"/>
        </w:rPr>
        <w:br/>
        <w:t>Evolution: (1) Local Differential Privacy (LDP): Ingesting sensitive microdata (individual CPF contributions, employer retrenchments) by injecting calibrated Laplace noise (ε=0.5, δ=10⁻⁵) into wage aggregations, preserving statistical validity without exposing identifiable payroll records. (2) Dynamic Schema Adapters: Semantic vector embeddings automatically remap evolving Data.gov.sg schema headers (e.g. median_gross_wage_sgd to median_monthly_gross_excl_cpf).</w:t>
      </w:r>
    </w:p>
    <w:p w14:paraId="4B7E1E2C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C. User Trust, Factuality &amp; Semantic Entailment Verification</w:t>
      </w:r>
    </w:p>
    <w:p w14:paraId="40584B16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Our HallucinationVerificationGuard indexes ground-truth datasets and verifies quantitative claims within a ±1.5% tolerance, detecting fabrications and recording discrepancies.</w:t>
      </w:r>
      <w:r>
        <w:rPr>
          <w:rFonts w:ascii="Calibri" w:hAnsi="Calibri"/>
          <w:sz w:val="18"/>
        </w:rPr>
        <w:br/>
        <w:t>Evolution: Extend verification from numerical claims to qualitative policy logic by embedding Natural Language Inference (NLI) cross-encoders (e.g. DeBERTa-v3). The guard verifies that qualitative findings are logically entailed by authoritative whitepaper chunks retrieved via RAG, creating an auditable cryptographic citation tree for ministerial reviews.</w:t>
      </w:r>
    </w:p>
    <w:p w14:paraId="16456150" w14:textId="77777777" w:rsidR="006A490E" w:rsidRDefault="00000000">
      <w:r>
        <w:br w:type="page"/>
      </w:r>
    </w:p>
    <w:p w14:paraId="7EB2F720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lastRenderedPageBreak/>
        <w:t>D. Security, Sovereign Enclaves &amp; Whole-of-Government Compliance (IM8 / GCC 2.0)</w:t>
      </w:r>
    </w:p>
    <w:p w14:paraId="32BF8841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The system operates with non-root Docker isolation, parameterized SQL queries, CORS headers, and multi-cloud fallback (OpenAI, Gemini, Bedrock).</w:t>
      </w:r>
      <w:r>
        <w:rPr>
          <w:rFonts w:ascii="Calibri" w:hAnsi="Calibri"/>
          <w:sz w:val="18"/>
        </w:rPr>
        <w:br/>
        <w:t>Evolution: In restricted government zones where public cloud LLMs are prohibited by IM8 guidelines, deploy local quantized sovereign foundation models (e.g. Singapore's SEA-LION or Llama-3-70B) via vLLM on on-premise GPU clusters inside Singapore's Government Commercial Cloud (GCC 2.0). Integrate TechPass and Singpass SSO with Role-Based Access Control (RBAC) to enforce classified data redaction.</w:t>
      </w:r>
    </w:p>
    <w:p w14:paraId="78DAE261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E. Scalability &amp; Big Data Policy Simulation (DuckDB &amp; EconML)</w:t>
      </w:r>
    </w:p>
    <w:p w14:paraId="002B88FF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In-memory Pandas processes aggregate series in &lt;2 seconds for standard analytical queries.</w:t>
      </w:r>
      <w:r>
        <w:rPr>
          <w:rFonts w:ascii="Calibri" w:hAnsi="Calibri"/>
          <w:sz w:val="18"/>
        </w:rPr>
        <w:br/>
        <w:t>Evolution: Migrate analytical processing to DuckDB / Apache Arrow for vectorized in-process OLAP, handling multi-gigabyte census and labor tables without memory bloat. Integrate Double Machine Learning (EconML) to enable causal policy simulation: analysts can model counterfactual scenarios (e.g. 'What if TeSA conversion subsidies had not been expanded in 2021?') to isolate true treatment effects.</w:t>
      </w:r>
    </w:p>
    <w:p w14:paraId="21334587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F. Multi-Agency Collaboration, Knowledge Graph &amp; Shared Blackboard</w:t>
      </w:r>
    </w:p>
    <w:p w14:paraId="46FF09EF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Thread-safe SQLite blackboard persists session logs and analytical state.</w:t>
      </w:r>
      <w:r>
        <w:rPr>
          <w:rFonts w:ascii="Calibri" w:hAnsi="Calibri"/>
          <w:sz w:val="18"/>
        </w:rPr>
        <w:br/>
        <w:t>Evolution: Establish a unified Policy Knowledge Graph linking datasets across MOM, IMDA, and EDB. Cross-ministry research teams can collaboratively annotate shared policy briefs, fork analytical models, and maintain synchronized versioned policy intelligence.</w:t>
      </w:r>
    </w:p>
    <w:p w14:paraId="412CFF66" w14:textId="77777777" w:rsidR="006A490E" w:rsidRDefault="00000000">
      <w:pPr>
        <w:spacing w:before="80" w:after="20"/>
      </w:pPr>
      <w:r>
        <w:rPr>
          <w:rFonts w:ascii="Arial" w:hAnsi="Arial"/>
          <w:b/>
          <w:color w:val="142D55"/>
          <w:sz w:val="19"/>
        </w:rPr>
        <w:t>G. Multi-Cloud FinOps, Semantic Caching &amp; Cost Optimization</w:t>
      </w:r>
    </w:p>
    <w:p w14:paraId="764EC345" w14:textId="77777777" w:rsidR="006A490E" w:rsidRDefault="00000000">
      <w:pPr>
        <w:spacing w:after="80" w:line="252" w:lineRule="auto"/>
      </w:pPr>
      <w:r>
        <w:rPr>
          <w:rFonts w:ascii="Calibri" w:hAnsi="Calibri"/>
          <w:sz w:val="18"/>
        </w:rPr>
        <w:t>Implementation Baseline: MultiCloudLLMRouter tracks latency and simulated token consumption.</w:t>
      </w:r>
      <w:r>
        <w:rPr>
          <w:rFonts w:ascii="Calibri" w:hAnsi="Calibri"/>
          <w:sz w:val="18"/>
        </w:rPr>
        <w:br/>
        <w:t>Evolution: Implement semantic vector caching (Redis/pgvector) to resolve recurring quarterly policy queries instantaneously (&lt;5ms) with zero LLM API cost. Employ cost-aware tiered routing: lightweight SLMs handle intent classification and schema formatting ($0.075/1M tokens), reserving frontier models exclusively for strategic synthesis, cutting compute costs by &gt;75%.</w:t>
      </w:r>
    </w:p>
    <w:p w14:paraId="46A61864" w14:textId="77777777" w:rsidR="006A490E" w:rsidRDefault="00000000">
      <w:pPr>
        <w:spacing w:before="120" w:after="60"/>
      </w:pPr>
      <w:r>
        <w:rPr>
          <w:rFonts w:ascii="Arial" w:hAnsi="Arial"/>
          <w:b/>
          <w:color w:val="003366"/>
          <w:sz w:val="21"/>
        </w:rPr>
        <w:t>3. Phased Implementation Roadmap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3168"/>
        <w:gridCol w:w="4032"/>
      </w:tblGrid>
      <w:tr w:rsidR="006A490E" w14:paraId="159ED15B" w14:textId="77777777">
        <w:trPr>
          <w:jc w:val="center"/>
        </w:trPr>
        <w:tc>
          <w:tcPr>
            <w:tcW w:w="1440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28493" w14:textId="77777777" w:rsidR="006A490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Phase</w:t>
            </w:r>
          </w:p>
        </w:tc>
        <w:tc>
          <w:tcPr>
            <w:tcW w:w="1728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4E9DA" w14:textId="77777777" w:rsidR="006A490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Timeline</w:t>
            </w:r>
          </w:p>
        </w:tc>
        <w:tc>
          <w:tcPr>
            <w:tcW w:w="3168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ABF9C9" w14:textId="77777777" w:rsidR="006A490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Strategic Focus</w:t>
            </w:r>
          </w:p>
        </w:tc>
        <w:tc>
          <w:tcPr>
            <w:tcW w:w="4032" w:type="dxa"/>
            <w:shd w:val="clear" w:color="auto" w:fill="00336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A403B" w14:textId="77777777" w:rsidR="006A490E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Concrete Deliverables</w:t>
            </w:r>
          </w:p>
        </w:tc>
      </w:tr>
      <w:tr w:rsidR="006A490E" w14:paraId="1E5B7BCB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D25333" w14:textId="77777777" w:rsidR="006A490E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Phase 1</w:t>
            </w:r>
          </w:p>
        </w:tc>
        <w:tc>
          <w:tcPr>
            <w:tcW w:w="172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CE80EB" w14:textId="77777777" w:rsidR="006A490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Immediate (Q1-Q2)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3467BD" w14:textId="77777777" w:rsidR="006A490E" w:rsidRDefault="00000000">
            <w:r>
              <w:rPr>
                <w:rFonts w:ascii="Calibri" w:hAnsi="Calibri"/>
                <w:sz w:val="16"/>
              </w:rPr>
              <w:t>Sovereign Core &amp; Security</w:t>
            </w:r>
          </w:p>
        </w:tc>
        <w:tc>
          <w:tcPr>
            <w:tcW w:w="403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7C8DDF" w14:textId="77777777" w:rsidR="006A490E" w:rsidRDefault="00000000">
            <w:r>
              <w:rPr>
                <w:rFonts w:ascii="Calibri" w:hAnsi="Calibri"/>
                <w:sz w:val="16"/>
              </w:rPr>
              <w:t>vLLM SEA-LION deployment on GCC 2.0; TechPass SSO &amp; RBAC; DuckDB columnar analytics engine.</w:t>
            </w:r>
          </w:p>
        </w:tc>
      </w:tr>
      <w:tr w:rsidR="006A490E" w14:paraId="0E882AF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8D96D" w14:textId="77777777" w:rsidR="006A490E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Phase 2</w:t>
            </w:r>
          </w:p>
        </w:tc>
        <w:tc>
          <w:tcPr>
            <w:tcW w:w="172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A9EF0C" w14:textId="77777777" w:rsidR="006A490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Mid-Term (Q3-Q4)</w:t>
            </w:r>
          </w:p>
        </w:tc>
        <w:tc>
          <w:tcPr>
            <w:tcW w:w="3168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44633F" w14:textId="77777777" w:rsidR="006A490E" w:rsidRDefault="00000000">
            <w:r>
              <w:rPr>
                <w:rFonts w:ascii="Calibri" w:hAnsi="Calibri"/>
                <w:sz w:val="16"/>
              </w:rPr>
              <w:t>Privacy, Trust &amp; Lineage</w:t>
            </w:r>
          </w:p>
        </w:tc>
        <w:tc>
          <w:tcPr>
            <w:tcW w:w="4032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A03118" w14:textId="77777777" w:rsidR="006A490E" w:rsidRDefault="00000000">
            <w:r>
              <w:rPr>
                <w:rFonts w:ascii="Calibri" w:hAnsi="Calibri"/>
                <w:sz w:val="16"/>
              </w:rPr>
              <w:t>Differential Privacy enclaves (ε=0.5); NLI qualitative claim verification; semantic API caching.</w:t>
            </w:r>
          </w:p>
        </w:tc>
      </w:tr>
      <w:tr w:rsidR="006A490E" w14:paraId="1C83F11F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E4A630" w14:textId="77777777" w:rsidR="006A490E" w:rsidRDefault="00000000">
            <w:pPr>
              <w:jc w:val="center"/>
            </w:pPr>
            <w:r>
              <w:rPr>
                <w:rFonts w:ascii="Calibri" w:hAnsi="Calibri"/>
                <w:b/>
                <w:sz w:val="16"/>
              </w:rPr>
              <w:t>Phase 3</w:t>
            </w:r>
          </w:p>
        </w:tc>
        <w:tc>
          <w:tcPr>
            <w:tcW w:w="172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84739" w14:textId="77777777" w:rsidR="006A490E" w:rsidRDefault="00000000">
            <w:pPr>
              <w:jc w:val="center"/>
            </w:pPr>
            <w:r>
              <w:rPr>
                <w:rFonts w:ascii="Calibri" w:hAnsi="Calibri"/>
                <w:sz w:val="16"/>
              </w:rPr>
              <w:t>Strategic (Year 2)</w:t>
            </w:r>
          </w:p>
        </w:tc>
        <w:tc>
          <w:tcPr>
            <w:tcW w:w="3168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6109A3" w14:textId="77777777" w:rsidR="006A490E" w:rsidRDefault="00000000">
            <w:r>
              <w:rPr>
                <w:rFonts w:ascii="Calibri" w:hAnsi="Calibri"/>
                <w:sz w:val="16"/>
              </w:rPr>
              <w:t>Causal AI &amp; WOG Ecosystem</w:t>
            </w:r>
          </w:p>
        </w:tc>
        <w:tc>
          <w:tcPr>
            <w:tcW w:w="4032" w:type="dxa"/>
            <w:shd w:val="clear" w:color="auto" w:fill="F8FA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BB60F8" w14:textId="77777777" w:rsidR="006A490E" w:rsidRDefault="00000000">
            <w:r>
              <w:rPr>
                <w:rFonts w:ascii="Calibri" w:hAnsi="Calibri"/>
                <w:sz w:val="16"/>
              </w:rPr>
              <w:t>EconML counterfactual policy simulation; cross-agency knowledge graph; self-healing schema adapters.</w:t>
            </w:r>
          </w:p>
        </w:tc>
      </w:tr>
    </w:tbl>
    <w:p w14:paraId="0CC602BD" w14:textId="77777777" w:rsidR="006A490E" w:rsidRDefault="00000000">
      <w:pPr>
        <w:spacing w:before="120" w:after="40"/>
      </w:pPr>
      <w:r>
        <w:rPr>
          <w:rFonts w:ascii="Arial" w:hAnsi="Arial"/>
          <w:b/>
          <w:color w:val="003366"/>
          <w:sz w:val="20"/>
        </w:rPr>
        <w:t>4. Conclusion &amp; Value Proposition</w:t>
      </w:r>
    </w:p>
    <w:p w14:paraId="2363C349" w14:textId="77777777" w:rsidR="006A490E" w:rsidRDefault="00000000">
      <w:pPr>
        <w:spacing w:after="0" w:line="252" w:lineRule="auto"/>
      </w:pPr>
      <w:r>
        <w:rPr>
          <w:rFonts w:ascii="Calibri" w:hAnsi="Calibri"/>
          <w:sz w:val="17"/>
        </w:rPr>
        <w:t>By grounding multi-agent orchestration in empirical quality measurement, source-grounded discrepancy auditing, and sovereign enclave deployment, this platform evolves from a functional technical demonstration into a secure, auditable, and indispensable national policy intelligence infrastructure for the Singapore Public Sector.</w:t>
      </w:r>
    </w:p>
    <w:sectPr w:rsidR="006A490E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800405">
    <w:abstractNumId w:val="8"/>
  </w:num>
  <w:num w:numId="2" w16cid:durableId="2005040904">
    <w:abstractNumId w:val="6"/>
  </w:num>
  <w:num w:numId="3" w16cid:durableId="1245145338">
    <w:abstractNumId w:val="5"/>
  </w:num>
  <w:num w:numId="4" w16cid:durableId="1216773380">
    <w:abstractNumId w:val="4"/>
  </w:num>
  <w:num w:numId="5" w16cid:durableId="547448314">
    <w:abstractNumId w:val="7"/>
  </w:num>
  <w:num w:numId="6" w16cid:durableId="1881941689">
    <w:abstractNumId w:val="3"/>
  </w:num>
  <w:num w:numId="7" w16cid:durableId="327441529">
    <w:abstractNumId w:val="2"/>
  </w:num>
  <w:num w:numId="8" w16cid:durableId="135802245">
    <w:abstractNumId w:val="1"/>
  </w:num>
  <w:num w:numId="9" w16cid:durableId="182986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490E"/>
    <w:rsid w:val="00762FC5"/>
    <w:rsid w:val="007943DF"/>
    <w:rsid w:val="00AA1D8D"/>
    <w:rsid w:val="00B47730"/>
    <w:rsid w:val="00CB0664"/>
    <w:rsid w:val="00E957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595C6"/>
  <w14:defaultImageDpi w14:val="300"/>
  <w15:docId w15:val="{C1CC625F-87B9-460E-91EA-09719296C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RohitKrSrivastava/Agentic-Policy-Analytic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rohit-kumar-srivastava-59921352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922</Words>
  <Characters>5262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Rohit Kumar Srivastava</cp:lastModifiedBy>
  <cp:revision>3</cp:revision>
  <cp:lastPrinted>2026-10-27T12:05:00Z</cp:lastPrinted>
  <dcterms:created xsi:type="dcterms:W3CDTF">2013-12-23T23:15:00Z</dcterms:created>
  <dcterms:modified xsi:type="dcterms:W3CDTF">2026-10-27T12:05:00Z</dcterms:modified>
  <cp:category/>
</cp:coreProperties>
</file>