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Trading System – PnL, Margin &amp; Brokerage Formula Testing Document</w:t>
      </w:r>
    </w:p>
    <w:p>
      <w:pPr>
        <w:jc w:val="center"/>
      </w:pPr>
      <w:r>
        <w:rPr>
          <w:i/>
          <w:sz w:val="20"/>
        </w:rPr>
        <w:t>Based strictly on the provided calculation helpers</w:t>
      </w:r>
    </w:p>
    <w:p>
      <w:pPr>
        <w:pStyle w:val="Heading1"/>
      </w:pPr>
      <w:r>
        <w:t>1. Quick Formula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Main Formula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Currency / Basis</w:t>
            </w:r>
          </w:p>
        </w:tc>
      </w:tr>
      <w:tr>
        <w:tc>
          <w:tcPr>
            <w:tcW w:type="dxa" w:w="3456"/>
            <w:vAlign w:val="center"/>
          </w:tcPr>
          <w:p>
            <w:r>
              <w:t>Equity/NFO PnL</w:t>
            </w:r>
          </w:p>
        </w:tc>
        <w:tc>
          <w:tcPr>
            <w:tcW w:type="dxa" w:w="3456"/>
            <w:vAlign w:val="center"/>
          </w:tcPr>
          <w:p>
            <w:r>
              <w:t>(Exit − Entry) × Total Shares (BUY); (Entry − Exit) × Total Shares (SELL)</w:t>
            </w:r>
          </w:p>
        </w:tc>
        <w:tc>
          <w:tcPr>
            <w:tcW w:type="dxa" w:w="3456"/>
            <w:vAlign w:val="center"/>
          </w:tcPr>
          <w:p>
            <w:r>
              <w:t>Native price currency</w:t>
            </w:r>
          </w:p>
        </w:tc>
      </w:tr>
      <w:tr>
        <w:tc>
          <w:tcPr>
            <w:tcW w:type="dxa" w:w="3456"/>
            <w:vAlign w:val="center"/>
          </w:tcPr>
          <w:p>
            <w:r>
              <w:t>MCX PnL</w:t>
            </w:r>
          </w:p>
        </w:tc>
        <w:tc>
          <w:tcPr>
            <w:tcW w:type="dxa" w:w="3456"/>
            <w:vAlign w:val="center"/>
          </w:tcPr>
          <w:p>
            <w:r>
              <w:t>Price Difference × Lots × Lot Size</w:t>
            </w:r>
          </w:p>
        </w:tc>
        <w:tc>
          <w:tcPr>
            <w:tcW w:type="dxa" w:w="3456"/>
            <w:vAlign w:val="center"/>
          </w:tcPr>
          <w:p>
            <w:r>
              <w:t>MCX price currency</w:t>
            </w:r>
          </w:p>
        </w:tc>
      </w:tr>
      <w:tr>
        <w:tc>
          <w:tcPr>
            <w:tcW w:type="dxa" w:w="3456"/>
            <w:vAlign w:val="center"/>
          </w:tcPr>
          <w:p>
            <w:r>
              <w:t>USD/International PnL</w:t>
            </w:r>
          </w:p>
        </w:tc>
        <w:tc>
          <w:tcPr>
            <w:tcW w:type="dxa" w:w="3456"/>
            <w:vAlign w:val="center"/>
          </w:tcPr>
          <w:p>
            <w:r>
              <w:t>USD PnL × selected USD/INR rate</w:t>
            </w:r>
          </w:p>
        </w:tc>
        <w:tc>
          <w:tcPr>
            <w:tcW w:type="dxa" w:w="3456"/>
            <w:vAlign w:val="center"/>
          </w:tcPr>
          <w:p>
            <w:r>
              <w:t>USD → INR, except direct INR pairs</w:t>
            </w:r>
          </w:p>
        </w:tc>
      </w:tr>
      <w:tr>
        <w:tc>
          <w:tcPr>
            <w:tcW w:type="dxa" w:w="3456"/>
            <w:vAlign w:val="center"/>
          </w:tcPr>
          <w:p>
            <w:r>
              <w:t>Per-Lot Brokerage</w:t>
            </w:r>
          </w:p>
        </w:tc>
        <w:tc>
          <w:tcPr>
            <w:tcW w:type="dxa" w:w="3456"/>
            <w:vAlign w:val="center"/>
          </w:tcPr>
          <w:p>
            <w:r>
              <w:t>Base Lots Count × Brokerage Rate</w:t>
            </w:r>
          </w:p>
        </w:tc>
        <w:tc>
          <w:tcPr>
            <w:tcW w:type="dxa" w:w="3456"/>
            <w:vAlign w:val="center"/>
          </w:tcPr>
          <w:p>
            <w:r>
              <w:t>Rate per lot/unit</w:t>
            </w:r>
          </w:p>
        </w:tc>
      </w:tr>
      <w:tr>
        <w:tc>
          <w:tcPr>
            <w:tcW w:type="dxa" w:w="3456"/>
            <w:vAlign w:val="center"/>
          </w:tcPr>
          <w:p>
            <w:r>
              <w:t>Per-Crore Brokerage</w:t>
            </w:r>
          </w:p>
        </w:tc>
        <w:tc>
          <w:tcPr>
            <w:tcW w:type="dxa" w:w="3456"/>
            <w:vAlign w:val="center"/>
          </w:tcPr>
          <w:p>
            <w:r>
              <w:t>((Entry + Exit) × Total Qty × USD/INR if international) ÷ 1,00,00,000 × Rate</w:t>
            </w:r>
          </w:p>
        </w:tc>
        <w:tc>
          <w:tcPr>
            <w:tcW w:type="dxa" w:w="3456"/>
            <w:vAlign w:val="center"/>
          </w:tcPr>
          <w:p>
            <w:r>
              <w:t>INR per crore</w:t>
            </w:r>
          </w:p>
        </w:tc>
      </w:tr>
      <w:tr>
        <w:tc>
          <w:tcPr>
            <w:tcW w:type="dxa" w:w="3456"/>
            <w:vAlign w:val="center"/>
          </w:tcPr>
          <w:p>
            <w:r>
              <w:t>Per-Lot Margin</w:t>
            </w:r>
          </w:p>
        </w:tc>
        <w:tc>
          <w:tcPr>
            <w:tcW w:type="dxa" w:w="3456"/>
            <w:vAlign w:val="center"/>
          </w:tcPr>
          <w:p>
            <w:r>
              <w:t>Lot Count × Margin Per Lot</w:t>
            </w:r>
          </w:p>
        </w:tc>
        <w:tc>
          <w:tcPr>
            <w:tcW w:type="dxa" w:w="3456"/>
            <w:vAlign w:val="center"/>
          </w:tcPr>
          <w:p>
            <w:r>
              <w:t>INR/configured margin</w:t>
            </w:r>
          </w:p>
        </w:tc>
      </w:tr>
      <w:tr>
        <w:tc>
          <w:tcPr>
            <w:tcW w:type="dxa" w:w="3456"/>
            <w:vAlign w:val="center"/>
          </w:tcPr>
          <w:p>
            <w:r>
              <w:t>Per-Turnover Margin</w:t>
            </w:r>
          </w:p>
        </w:tc>
        <w:tc>
          <w:tcPr>
            <w:tcW w:type="dxa" w:w="3456"/>
            <w:vAlign w:val="center"/>
          </w:tcPr>
          <w:p>
            <w:r>
              <w:t>(Price × Actual Qty) ÷ Exposure Divisor</w:t>
            </w:r>
          </w:p>
        </w:tc>
        <w:tc>
          <w:tcPr>
            <w:tcW w:type="dxa" w:w="3456"/>
            <w:vAlign w:val="center"/>
          </w:tcPr>
          <w:p>
            <w:r>
              <w:t>INR; international converted to INR when applicable</w:t>
            </w:r>
          </w:p>
        </w:tc>
      </w:tr>
    </w:tbl>
    <w:p>
      <w:pPr>
        <w:pStyle w:val="Heading1"/>
      </w:pPr>
      <w:r>
        <w:t>2. PnL – Equity &amp; NFO Futures/Options</w:t>
      </w:r>
    </w:p>
    <w:p>
      <w:r>
        <w:rPr>
          <w:rFonts w:ascii="Consolas" w:hAnsi="Consolas"/>
          <w:b/>
          <w:sz w:val="18"/>
        </w:rPr>
        <w:t>BUY PnL = (Exit Price − Entry Price) × Total Shares</w:t>
      </w:r>
    </w:p>
    <w:p>
      <w:r>
        <w:rPr>
          <w:rFonts w:ascii="Consolas" w:hAnsi="Consolas"/>
          <w:b/>
          <w:sz w:val="18"/>
        </w:rPr>
        <w:t>SELL PnL = (Entry Price − Exit Price) × Total Shares</w:t>
      </w:r>
    </w:p>
    <w:p>
      <w:pPr>
        <w:pStyle w:val="ListBullet"/>
      </w:pPr>
      <w:r>
        <w:t>Total Shares priority: actualQty if valid and &gt; 0.</w:t>
      </w:r>
    </w:p>
    <w:p>
      <w:pPr>
        <w:pStyle w:val="ListBullet"/>
      </w:pPr>
      <w:r>
        <w:t>Otherwise qtyInput is used: Units mode → qtyInput; Lot mode → qtyInput × lotSize.</w:t>
      </w:r>
    </w:p>
    <w:p>
      <w:pPr>
        <w:pStyle w:val="ListBullet"/>
      </w:pPr>
      <w:r>
        <w:t>Otherwise qty is used directly.</w:t>
      </w:r>
    </w:p>
    <w:p>
      <w:r>
        <w:rPr>
          <w:b/>
        </w:rPr>
        <w:t xml:space="preserve">NOTE: </w:t>
      </w:r>
      <w:r>
        <w:t>This helper does not apply any USD/INR conversion. It returns price-difference × quantity.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Exit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Lot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Expected PnL</w:t>
            </w:r>
          </w:p>
        </w:tc>
      </w:tr>
      <w:tr>
        <w:tc>
          <w:tcPr>
            <w:tcW w:type="dxa" w:w="1481"/>
            <w:vAlign w:val="center"/>
          </w:tcPr>
          <w:p>
            <w:r>
              <w:t>BUY profit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110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50</w:t>
            </w:r>
          </w:p>
        </w:tc>
        <w:tc>
          <w:tcPr>
            <w:tcW w:type="dxa" w:w="1481"/>
            <w:vAlign w:val="center"/>
          </w:tcPr>
          <w:p>
            <w:r>
              <w:t>Lot</w:t>
            </w:r>
          </w:p>
        </w:tc>
        <w:tc>
          <w:tcPr>
            <w:tcW w:type="dxa" w:w="1481"/>
            <w:vAlign w:val="center"/>
          </w:tcPr>
          <w:p>
            <w:r>
              <w:t>(110-100)×(2×50) = ₹1,000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BUY loss</w:t>
            </w:r>
          </w:p>
        </w:tc>
        <w:tc>
          <w:tcPr>
            <w:tcW w:type="dxa" w:w="1481"/>
            <w:vAlign w:val="center"/>
          </w:tcPr>
          <w:p>
            <w:r>
              <w:t>110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50</w:t>
            </w:r>
          </w:p>
        </w:tc>
        <w:tc>
          <w:tcPr>
            <w:tcW w:type="dxa" w:w="1481"/>
            <w:vAlign w:val="center"/>
          </w:tcPr>
          <w:p>
            <w:r>
              <w:t>Lot</w:t>
            </w:r>
          </w:p>
        </w:tc>
        <w:tc>
          <w:tcPr>
            <w:tcW w:type="dxa" w:w="1481"/>
            <w:vAlign w:val="center"/>
          </w:tcPr>
          <w:p>
            <w:r>
              <w:t>(100-110)×100 = -₹1,000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SELL profit</w:t>
            </w:r>
          </w:p>
        </w:tc>
        <w:tc>
          <w:tcPr>
            <w:tcW w:type="dxa" w:w="1481"/>
            <w:vAlign w:val="center"/>
          </w:tcPr>
          <w:p>
            <w:r>
              <w:t>110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50</w:t>
            </w:r>
          </w:p>
        </w:tc>
        <w:tc>
          <w:tcPr>
            <w:tcW w:type="dxa" w:w="1481"/>
            <w:vAlign w:val="center"/>
          </w:tcPr>
          <w:p>
            <w:r>
              <w:t>Lot</w:t>
            </w:r>
          </w:p>
        </w:tc>
        <w:tc>
          <w:tcPr>
            <w:tcW w:type="dxa" w:w="1481"/>
            <w:vAlign w:val="center"/>
          </w:tcPr>
          <w:p>
            <w:r>
              <w:t>(110-100)×100 = ₹1,000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Units mode BUY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110</w:t>
            </w:r>
          </w:p>
        </w:tc>
        <w:tc>
          <w:tcPr>
            <w:tcW w:type="dxa" w:w="1481"/>
            <w:vAlign w:val="center"/>
          </w:tcPr>
          <w:p>
            <w:r>
              <w:t>25</w:t>
            </w:r>
          </w:p>
        </w:tc>
        <w:tc>
          <w:tcPr>
            <w:tcW w:type="dxa" w:w="1481"/>
            <w:vAlign w:val="center"/>
          </w:tcPr>
          <w:p>
            <w:r>
              <w:t>50</w:t>
            </w:r>
          </w:p>
        </w:tc>
        <w:tc>
          <w:tcPr>
            <w:tcW w:type="dxa" w:w="1481"/>
            <w:vAlign w:val="center"/>
          </w:tcPr>
          <w:p>
            <w:r>
              <w:t>Units</w:t>
            </w:r>
          </w:p>
        </w:tc>
        <w:tc>
          <w:tcPr>
            <w:tcW w:type="dxa" w:w="1481"/>
            <w:vAlign w:val="center"/>
          </w:tcPr>
          <w:p>
            <w:r>
              <w:t>(110-100)×25 = ₹250</w:t>
            </w:r>
          </w:p>
        </w:tc>
      </w:tr>
      <w:tr>
        <w:tc>
          <w:tcPr>
            <w:tcW w:type="dxa" w:w="1481"/>
            <w:vAlign w:val="center"/>
          </w:tcPr>
          <w:p>
            <w:r>
              <w:t>actualQty priority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110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50</w:t>
            </w:r>
          </w:p>
        </w:tc>
        <w:tc>
          <w:tcPr>
            <w:tcW w:type="dxa" w:w="1481"/>
            <w:vAlign w:val="center"/>
          </w:tcPr>
          <w:p>
            <w:r>
              <w:t>Lot</w:t>
            </w:r>
          </w:p>
        </w:tc>
        <w:tc>
          <w:tcPr>
            <w:tcW w:type="dxa" w:w="1481"/>
            <w:vAlign w:val="center"/>
          </w:tcPr>
          <w:p>
            <w:r>
              <w:t>If actualQty=75: 10×75 = ₹750</w:t>
            </w:r>
          </w:p>
        </w:tc>
      </w:tr>
    </w:tbl>
    <w:p>
      <w:pPr>
        <w:pStyle w:val="Heading1"/>
      </w:pPr>
      <w:r>
        <w:t>3. PnL – MCX</w:t>
      </w:r>
    </w:p>
    <w:p>
      <w:r>
        <w:rPr>
          <w:rFonts w:ascii="Consolas" w:hAnsi="Consolas"/>
          <w:b/>
          <w:sz w:val="18"/>
        </w:rPr>
        <w:t>Total Units = Lots Count × Lot Size</w:t>
      </w:r>
    </w:p>
    <w:p>
      <w:r>
        <w:rPr>
          <w:rFonts w:ascii="Consolas" w:hAnsi="Consolas"/>
          <w:b/>
          <w:sz w:val="18"/>
        </w:rPr>
        <w:t>BUY PnL = (Exit − Entry) × Total Units</w:t>
      </w:r>
    </w:p>
    <w:p>
      <w:r>
        <w:rPr>
          <w:rFonts w:ascii="Consolas" w:hAnsi="Consolas"/>
          <w:b/>
          <w:sz w:val="18"/>
        </w:rPr>
        <w:t>SELL PnL = (Entry − Exit) × Total Units</w:t>
      </w:r>
    </w:p>
    <w:p>
      <w:r>
        <w:rPr>
          <w:b/>
        </w:rPr>
        <w:t xml:space="preserve">NOTE: </w:t>
      </w:r>
      <w:r>
        <w:t>MCX helper is strictly Lots × LotSize; it does not use equity unit mode and does not apply USD/INR conversion.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Exit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Lots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Lot Size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Expected PnL</w:t>
            </w:r>
          </w:p>
        </w:tc>
      </w:tr>
      <w:tr>
        <w:tc>
          <w:tcPr>
            <w:tcW w:type="dxa" w:w="1481"/>
            <w:vAlign w:val="center"/>
          </w:tcPr>
          <w:p>
            <w:r>
              <w:t>Gold profit</w:t>
            </w:r>
          </w:p>
        </w:tc>
        <w:tc>
          <w:tcPr>
            <w:tcW w:type="dxa" w:w="1481"/>
            <w:vAlign w:val="center"/>
          </w:tcPr>
          <w:p>
            <w:r>
              <w:t>BUY</w:t>
            </w:r>
          </w:p>
        </w:tc>
        <w:tc>
          <w:tcPr>
            <w:tcW w:type="dxa" w:w="1481"/>
            <w:vAlign w:val="center"/>
          </w:tcPr>
          <w:p>
            <w:r>
              <w:t>45000</w:t>
            </w:r>
          </w:p>
        </w:tc>
        <w:tc>
          <w:tcPr>
            <w:tcW w:type="dxa" w:w="1481"/>
            <w:vAlign w:val="center"/>
          </w:tcPr>
          <w:p>
            <w:r>
              <w:t>45100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(100×200)=₹20,000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Gold loss</w:t>
            </w:r>
          </w:p>
        </w:tc>
        <w:tc>
          <w:tcPr>
            <w:tcW w:type="dxa" w:w="1481"/>
            <w:vAlign w:val="center"/>
          </w:tcPr>
          <w:p>
            <w:r>
              <w:t>BUY</w:t>
            </w:r>
          </w:p>
        </w:tc>
        <w:tc>
          <w:tcPr>
            <w:tcW w:type="dxa" w:w="1481"/>
            <w:vAlign w:val="center"/>
          </w:tcPr>
          <w:p>
            <w:r>
              <w:t>45000</w:t>
            </w:r>
          </w:p>
        </w:tc>
        <w:tc>
          <w:tcPr>
            <w:tcW w:type="dxa" w:w="1481"/>
            <w:vAlign w:val="center"/>
          </w:tcPr>
          <w:p>
            <w:r>
              <w:t>44900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(-100×200)=-₹20,000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Sell profit</w:t>
            </w:r>
          </w:p>
        </w:tc>
        <w:tc>
          <w:tcPr>
            <w:tcW w:type="dxa" w:w="1481"/>
            <w:vAlign w:val="center"/>
          </w:tcPr>
          <w:p>
            <w:r>
              <w:t>SELL</w:t>
            </w:r>
          </w:p>
        </w:tc>
        <w:tc>
          <w:tcPr>
            <w:tcW w:type="dxa" w:w="1481"/>
            <w:vAlign w:val="center"/>
          </w:tcPr>
          <w:p>
            <w:r>
              <w:t>45100</w:t>
            </w:r>
          </w:p>
        </w:tc>
        <w:tc>
          <w:tcPr>
            <w:tcW w:type="dxa" w:w="1481"/>
            <w:vAlign w:val="center"/>
          </w:tcPr>
          <w:p>
            <w:r>
              <w:t>45000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(100×200)=₹20,000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Gas</w:t>
            </w:r>
          </w:p>
        </w:tc>
        <w:tc>
          <w:tcPr>
            <w:tcW w:type="dxa" w:w="1481"/>
            <w:vAlign w:val="center"/>
          </w:tcPr>
          <w:p>
            <w:r>
              <w:t>BUY</w:t>
            </w:r>
          </w:p>
        </w:tc>
        <w:tc>
          <w:tcPr>
            <w:tcW w:type="dxa" w:w="1481"/>
            <w:vAlign w:val="center"/>
          </w:tcPr>
          <w:p>
            <w:r>
              <w:t>2.90</w:t>
            </w:r>
          </w:p>
        </w:tc>
        <w:tc>
          <w:tcPr>
            <w:tcW w:type="dxa" w:w="1481"/>
            <w:vAlign w:val="center"/>
          </w:tcPr>
          <w:p>
            <w:r>
              <w:t>2.88</w:t>
            </w:r>
          </w:p>
        </w:tc>
        <w:tc>
          <w:tcPr>
            <w:tcW w:type="dxa" w:w="1481"/>
            <w:vAlign w:val="center"/>
          </w:tcPr>
          <w:p>
            <w:r>
              <w:t>1</w:t>
            </w:r>
          </w:p>
        </w:tc>
        <w:tc>
          <w:tcPr>
            <w:tcW w:type="dxa" w:w="1481"/>
            <w:vAlign w:val="center"/>
          </w:tcPr>
          <w:p>
            <w:r>
              <w:t>10000</w:t>
            </w:r>
          </w:p>
        </w:tc>
        <w:tc>
          <w:tcPr>
            <w:tcW w:type="dxa" w:w="1481"/>
            <w:vAlign w:val="center"/>
          </w:tcPr>
          <w:p>
            <w:r>
              <w:t>(-0.02×10000)=-₹200 before any external INR conversion</w:t>
            </w:r>
          </w:p>
        </w:tc>
      </w:tr>
    </w:tbl>
    <w:p>
      <w:pPr>
        <w:pStyle w:val="Heading1"/>
      </w:pPr>
      <w:r>
        <w:t>4. PnL – Crypto / Forex / Comex</w:t>
      </w:r>
    </w:p>
    <w:p>
      <w:r>
        <w:rPr>
          <w:rFonts w:ascii="Consolas" w:hAnsi="Consolas"/>
          <w:b/>
          <w:sz w:val="18"/>
        </w:rPr>
        <w:t>Raw PnL = Price Difference × Lot Size × Quantity</w:t>
      </w:r>
    </w:p>
    <w:p>
      <w:r>
        <w:rPr>
          <w:rFonts w:ascii="Consolas" w:hAnsi="Consolas"/>
          <w:b/>
          <w:sz w:val="18"/>
        </w:rPr>
        <w:t>BUY: Price Difference = Exit − Entry</w:t>
      </w:r>
    </w:p>
    <w:p>
      <w:r>
        <w:rPr>
          <w:rFonts w:ascii="Consolas" w:hAnsi="Consolas"/>
          <w:b/>
          <w:sz w:val="18"/>
        </w:rPr>
        <w:t>SELL: Price Difference = Entry − Exit</w:t>
      </w:r>
    </w:p>
    <w:p>
      <w:pPr>
        <w:pStyle w:val="Heading2"/>
      </w:pPr>
      <w:r>
        <w:t>4.1 Direct INR Pair</w:t>
      </w:r>
    </w:p>
    <w:p>
      <w:pPr>
        <w:pStyle w:val="ListBullet"/>
      </w:pPr>
      <w:r>
        <w:t>Detected when cleaned symbol ends with USDINR or equals USDINR.</w:t>
      </w:r>
    </w:p>
    <w:p>
      <w:r>
        <w:rPr>
          <w:rFonts w:ascii="Consolas" w:hAnsi="Consolas"/>
          <w:b/>
          <w:sz w:val="18"/>
        </w:rPr>
        <w:t>PnL INR = Raw PnL</w:t>
      </w:r>
    </w:p>
    <w:p>
      <w:r>
        <w:rPr>
          <w:rFonts w:ascii="Consolas" w:hAnsi="Consolas"/>
          <w:b/>
          <w:sz w:val="18"/>
        </w:rPr>
        <w:t>PnL USD = PnL INR ÷ Current Ask (or fallback USD/INR)</w:t>
      </w:r>
    </w:p>
    <w:p>
      <w:pPr>
        <w:pStyle w:val="ListBullet"/>
      </w:pPr>
      <w:r>
        <w:t>usdInrRate is returned as 1 for the direct INR-pair branch.</w:t>
      </w:r>
    </w:p>
    <w:p>
      <w:pPr>
        <w:pStyle w:val="Heading2"/>
      </w:pPr>
      <w:r>
        <w:t>4.2 Foreign/USD-priced Pair</w:t>
      </w:r>
    </w:p>
    <w:p>
      <w:r>
        <w:rPr>
          <w:rFonts w:ascii="Consolas" w:hAnsi="Consolas"/>
          <w:b/>
          <w:sz w:val="18"/>
        </w:rPr>
        <w:t>PnL USD = Raw PnL</w:t>
      </w:r>
    </w:p>
    <w:p>
      <w:r>
        <w:rPr>
          <w:rFonts w:ascii="Consolas" w:hAnsi="Consolas"/>
          <w:b/>
          <w:sz w:val="18"/>
        </w:rPr>
        <w:t>If PnL USD ≥ 0: USD/INR = liveAsk, otherwise fallbackUsdInr × 0.90</w:t>
      </w:r>
    </w:p>
    <w:p>
      <w:r>
        <w:rPr>
          <w:rFonts w:ascii="Consolas" w:hAnsi="Consolas"/>
          <w:b/>
          <w:sz w:val="18"/>
        </w:rPr>
        <w:t>If PnL USD &lt; 0: USD/INR = liveBid, otherwise fallbackUsdInr × 1.10</w:t>
      </w:r>
    </w:p>
    <w:p>
      <w:r>
        <w:rPr>
          <w:rFonts w:ascii="Consolas" w:hAnsi="Consolas"/>
          <w:b/>
          <w:sz w:val="18"/>
        </w:rPr>
        <w:t>PnL INR = PnL USD × selected USD/INR</w:t>
      </w:r>
    </w:p>
    <w:p>
      <w:r>
        <w:rPr>
          <w:b/>
        </w:rPr>
        <w:t xml:space="preserve">NOTE: </w:t>
      </w:r>
      <w:r>
        <w:t>The provided helper intentionally uses ASK for positive PnL and BID for negative PnL when live rates exist. Without live rates, fallbackUsdInr=95.1 gives 85.59 for positive PnL and 104.61 for negative PnL.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Raw USD PnL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Rate Used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PnL INR</w:t>
            </w:r>
          </w:p>
        </w:tc>
      </w:tr>
      <w:tr>
        <w:tc>
          <w:tcPr>
            <w:tcW w:type="dxa" w:w="2592"/>
            <w:vAlign w:val="center"/>
          </w:tcPr>
          <w:p>
            <w:r>
              <w:t>BTC BUY: 85578.03 → 85557.95, qty=1, lot=1</w:t>
            </w:r>
          </w:p>
        </w:tc>
        <w:tc>
          <w:tcPr>
            <w:tcW w:type="dxa" w:w="2592"/>
            <w:vAlign w:val="center"/>
          </w:tcPr>
          <w:p>
            <w:r>
              <w:t>-20.08</w:t>
            </w:r>
          </w:p>
        </w:tc>
        <w:tc>
          <w:tcPr>
            <w:tcW w:type="dxa" w:w="2592"/>
            <w:vAlign w:val="center"/>
          </w:tcPr>
          <w:p>
            <w:r>
              <w:t>liveBid if available; otherwise 95.1×1.10=104.61</w:t>
            </w:r>
          </w:p>
        </w:tc>
        <w:tc>
          <w:tcPr>
            <w:tcW w:type="dxa" w:w="2592"/>
            <w:vAlign w:val="center"/>
          </w:tcPr>
          <w:p>
            <w:r>
              <w:t>-20.08×rate</w:t>
            </w:r>
          </w:p>
        </w:tc>
      </w:tr>
      <w:tr>
        <w:tc>
          <w:tcPr>
            <w:tcW w:type="dxa" w:w="2592"/>
            <w:vAlign w:val="center"/>
          </w:tcPr>
          <w:p>
            <w:r>
              <w:t>BTC BUY profit of +20 USD</w:t>
            </w:r>
          </w:p>
        </w:tc>
        <w:tc>
          <w:tcPr>
            <w:tcW w:type="dxa" w:w="2592"/>
            <w:vAlign w:val="center"/>
          </w:tcPr>
          <w:p>
            <w:r>
              <w:t>+20</w:t>
            </w:r>
          </w:p>
        </w:tc>
        <w:tc>
          <w:tcPr>
            <w:tcW w:type="dxa" w:w="2592"/>
            <w:vAlign w:val="center"/>
          </w:tcPr>
          <w:p>
            <w:r>
              <w:t>liveAsk if available; otherwise 95.1×0.90=85.59</w:t>
            </w:r>
          </w:p>
        </w:tc>
        <w:tc>
          <w:tcPr>
            <w:tcW w:type="dxa" w:w="2592"/>
            <w:vAlign w:val="center"/>
          </w:tcPr>
          <w:p>
            <w:r>
              <w:t>+20×rate</w:t>
            </w:r>
          </w:p>
        </w:tc>
      </w:tr>
      <w:tr>
        <w:tc>
          <w:tcPr>
            <w:tcW w:type="dxa" w:w="2592"/>
            <w:vAlign w:val="center"/>
          </w:tcPr>
          <w:p>
            <w:r>
              <w:t>USDINR direct pair, +1.00 price move, lot=1000, qty=1</w:t>
            </w:r>
          </w:p>
        </w:tc>
        <w:tc>
          <w:tcPr>
            <w:tcW w:type="dxa" w:w="2592"/>
            <w:vAlign w:val="center"/>
          </w:tcPr>
          <w:p>
            <w:r>
              <w:t>+1000 INR</w:t>
            </w:r>
          </w:p>
        </w:tc>
        <w:tc>
          <w:tcPr>
            <w:tcW w:type="dxa" w:w="2592"/>
            <w:vAlign w:val="center"/>
          </w:tcPr>
          <w:p>
            <w:r>
              <w:t>PnL stays INR</w:t>
            </w:r>
          </w:p>
        </w:tc>
        <w:tc>
          <w:tcPr>
            <w:tcW w:type="dxa" w:w="2592"/>
            <w:vAlign w:val="center"/>
          </w:tcPr>
          <w:p>
            <w:r>
              <w:t>₹1,000</w:t>
            </w:r>
          </w:p>
        </w:tc>
      </w:tr>
    </w:tbl>
    <w:p>
      <w:pPr>
        <w:pStyle w:val="Heading1"/>
      </w:pPr>
      <w:r>
        <w:t>5. Brokerage – Centralized Helper</w:t>
      </w:r>
    </w:p>
    <w:p>
      <w:pPr>
        <w:pStyle w:val="Heading2"/>
      </w:pPr>
      <w:r>
        <w:t>5.1 Brokerage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Scrip-specific rate</w:t>
            </w:r>
          </w:p>
        </w:tc>
        <w:tc>
          <w:tcPr>
            <w:tcW w:type="dxa" w:w="3456"/>
            <w:vAlign w:val="center"/>
          </w:tcPr>
          <w:p>
            <w:r>
              <w:t>Used first when configured and &gt;0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user_segments.brokerage_value</w:t>
            </w:r>
          </w:p>
        </w:tc>
        <w:tc>
          <w:tcPr>
            <w:tcW w:type="dxa" w:w="3456"/>
            <w:vAlign w:val="center"/>
          </w:tcPr>
          <w:p>
            <w:r>
              <w:t>Used if present and &gt;0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client_settings fallback</w:t>
            </w:r>
          </w:p>
        </w:tc>
        <w:tc>
          <w:tcPr>
            <w:tcW w:type="dxa" w:w="3456"/>
            <w:vAlign w:val="center"/>
          </w:tcPr>
          <w:p>
            <w:r>
              <w:t>Segment-specific fallback</w:t>
            </w:r>
          </w:p>
        </w:tc>
      </w:tr>
    </w:tbl>
    <w:p>
      <w:pPr>
        <w:pStyle w:val="Heading2"/>
      </w:pPr>
      <w:r>
        <w:t>5.2 Scrip-Specific Brokerage</w:t>
      </w:r>
    </w:p>
    <w:p>
      <w:r>
        <w:rPr>
          <w:rFonts w:ascii="Consolas" w:hAnsi="Consolas"/>
          <w:b/>
          <w:sz w:val="18"/>
        </w:rPr>
        <w:t>Scrip brokerage = Base Lots Count × Scrip Rate</w:t>
      </w:r>
    </w:p>
    <w:p>
      <w:pPr>
        <w:pStyle w:val="ListBullet"/>
      </w:pPr>
      <w:r>
        <w:t>The scrip rate is passed to calcBrokerageFromRate as PER_LOT.</w:t>
      </w:r>
    </w:p>
    <w:p>
      <w:pPr>
        <w:pStyle w:val="ListBullet"/>
      </w:pPr>
      <w:r>
        <w:t>For MCX, scrip map is checked when MCX brokerage type is per_lot.</w:t>
      </w:r>
    </w:p>
    <w:p>
      <w:pPr>
        <w:pStyle w:val="ListBullet"/>
      </w:pPr>
      <w:r>
        <w:t>For Equity/NSE/NFO, equity brokerage map is checked by cleaned symbol / prefix.</w:t>
      </w:r>
    </w:p>
    <w:p>
      <w:pPr>
        <w:pStyle w:val="Heading2"/>
      </w:pPr>
      <w:r>
        <w:t>5.3 PER_LOT / PER_UNIT</w:t>
      </w:r>
    </w:p>
    <w:p>
      <w:r>
        <w:rPr>
          <w:rFonts w:ascii="Consolas" w:hAnsi="Consolas"/>
          <w:b/>
          <w:sz w:val="18"/>
        </w:rPr>
        <w:t>Brokerage = Base Lots Count × Brokerage Rate</w:t>
      </w:r>
    </w:p>
    <w:p>
      <w:r>
        <w:rPr>
          <w:b/>
        </w:rPr>
        <w:t xml:space="preserve">NOTE: </w:t>
      </w:r>
      <w:r>
        <w:t>In the centralized calc, Base Lots Count may become a proportional fraction of a lot in Unit Mode when actualQty is supplied.</w:t>
      </w:r>
    </w:p>
    <w:p>
      <w:pPr>
        <w:pStyle w:val="Heading2"/>
      </w:pPr>
      <w:r>
        <w:t>5.4 PER_CRORE</w:t>
      </w:r>
    </w:p>
    <w:p>
      <w:r>
        <w:rPr>
          <w:rFonts w:ascii="Consolas" w:hAnsi="Consolas"/>
          <w:b/>
          <w:sz w:val="18"/>
        </w:rPr>
        <w:t>Turnover INR = (Entry + Exit) × Total Shares/Units</w:t>
      </w:r>
    </w:p>
    <w:p>
      <w:r>
        <w:rPr>
          <w:rFonts w:ascii="Consolas" w:hAnsi="Consolas"/>
          <w:b/>
          <w:sz w:val="18"/>
        </w:rPr>
        <w:t>For non-Indian segments: Turnover INR = USD Turnover × USD/INR Rate</w:t>
      </w:r>
    </w:p>
    <w:p>
      <w:r>
        <w:rPr>
          <w:rFonts w:ascii="Consolas" w:hAnsi="Consolas"/>
          <w:b/>
          <w:sz w:val="18"/>
        </w:rPr>
        <w:t>Brokerage = (Turnover INR ÷ 10,000,000) × Brokerage Rate</w:t>
      </w:r>
    </w:p>
    <w:p>
      <w:r>
        <w:rPr>
          <w:b/>
        </w:rPr>
        <w:t xml:space="preserve">NOTE: </w:t>
      </w:r>
      <w:r>
        <w:t>1 Crore = ₹1,00,00,000.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Exit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Qty/Lot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USD/INR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Expected Brokerage</w:t>
            </w:r>
          </w:p>
        </w:tc>
      </w:tr>
      <w:tr>
        <w:tc>
          <w:tcPr>
            <w:tcW w:type="dxa" w:w="1481"/>
            <w:vAlign w:val="center"/>
          </w:tcPr>
          <w:p>
            <w:r>
              <w:t>BTC/USD</w:t>
            </w:r>
          </w:p>
        </w:tc>
        <w:tc>
          <w:tcPr>
            <w:tcW w:type="dxa" w:w="1481"/>
            <w:vAlign w:val="center"/>
          </w:tcPr>
          <w:p>
            <w:r>
              <w:t>85578.03</w:t>
            </w:r>
          </w:p>
        </w:tc>
        <w:tc>
          <w:tcPr>
            <w:tcW w:type="dxa" w:w="1481"/>
            <w:vAlign w:val="center"/>
          </w:tcPr>
          <w:p>
            <w:r>
              <w:t>85557.95</w:t>
            </w:r>
          </w:p>
        </w:tc>
        <w:tc>
          <w:tcPr>
            <w:tcW w:type="dxa" w:w="1481"/>
            <w:vAlign w:val="center"/>
          </w:tcPr>
          <w:p>
            <w:r>
              <w:t>1×1</w:t>
            </w:r>
          </w:p>
        </w:tc>
        <w:tc>
          <w:tcPr>
            <w:tcW w:type="dxa" w:w="1481"/>
            <w:vAlign w:val="center"/>
          </w:tcPr>
          <w:p>
            <w:r>
              <w:t>83.50</w:t>
            </w:r>
          </w:p>
        </w:tc>
        <w:tc>
          <w:tcPr>
            <w:tcW w:type="dxa" w:w="1481"/>
            <w:vAlign w:val="center"/>
          </w:tcPr>
          <w:p>
            <w:r>
              <w:t>₹800/crore</w:t>
            </w:r>
          </w:p>
        </w:tc>
        <w:tc>
          <w:tcPr>
            <w:tcW w:type="dxa" w:w="1481"/>
            <w:vAlign w:val="center"/>
          </w:tcPr>
          <w:p>
            <w:r>
              <w:t>₹1,143.19 approx.</w:t>
            </w:r>
          </w:p>
        </w:tc>
      </w:tr>
      <w:tr>
        <w:tc>
          <w:tcPr>
            <w:tcW w:type="dxa" w:w="1481"/>
            <w:vAlign w:val="center"/>
          </w:tcPr>
          <w:p>
            <w:r>
              <w:t>Equity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110</w:t>
            </w:r>
          </w:p>
        </w:tc>
        <w:tc>
          <w:tcPr>
            <w:tcW w:type="dxa" w:w="1481"/>
            <w:vAlign w:val="center"/>
          </w:tcPr>
          <w:p>
            <w:r>
              <w:t>100 shares</w:t>
            </w:r>
          </w:p>
        </w:tc>
        <w:tc>
          <w:tcPr>
            <w:tcW w:type="dxa" w:w="1481"/>
            <w:vAlign w:val="center"/>
          </w:tcPr>
          <w:p>
            <w:r>
              <w:t>N/A</w:t>
            </w:r>
          </w:p>
        </w:tc>
        <w:tc>
          <w:tcPr>
            <w:tcW w:type="dxa" w:w="1481"/>
            <w:vAlign w:val="center"/>
          </w:tcPr>
          <w:p>
            <w:r>
              <w:t>₹800/crore</w:t>
            </w:r>
          </w:p>
        </w:tc>
        <w:tc>
          <w:tcPr>
            <w:tcW w:type="dxa" w:w="1481"/>
            <w:vAlign w:val="center"/>
          </w:tcPr>
          <w:p>
            <w:r>
              <w:t>₹0.168</w:t>
            </w:r>
          </w:p>
        </w:tc>
      </w:tr>
      <w:tr>
        <w:tc>
          <w:tcPr>
            <w:tcW w:type="dxa" w:w="1481"/>
            <w:vAlign w:val="center"/>
          </w:tcPr>
          <w:p>
            <w:r>
              <w:t>Equity</w:t>
            </w:r>
          </w:p>
        </w:tc>
        <w:tc>
          <w:tcPr>
            <w:tcW w:type="dxa" w:w="1481"/>
            <w:vAlign w:val="center"/>
          </w:tcPr>
          <w:p>
            <w:r>
              <w:t>1000</w:t>
            </w:r>
          </w:p>
        </w:tc>
        <w:tc>
          <w:tcPr>
            <w:tcW w:type="dxa" w:w="1481"/>
            <w:vAlign w:val="center"/>
          </w:tcPr>
          <w:p>
            <w:r>
              <w:t>1100</w:t>
            </w:r>
          </w:p>
        </w:tc>
        <w:tc>
          <w:tcPr>
            <w:tcW w:type="dxa" w:w="1481"/>
            <w:vAlign w:val="center"/>
          </w:tcPr>
          <w:p>
            <w:r>
              <w:t>10000 shares</w:t>
            </w:r>
          </w:p>
        </w:tc>
        <w:tc>
          <w:tcPr>
            <w:tcW w:type="dxa" w:w="1481"/>
            <w:vAlign w:val="center"/>
          </w:tcPr>
          <w:p>
            <w:r>
              <w:t>N/A</w:t>
            </w:r>
          </w:p>
        </w:tc>
        <w:tc>
          <w:tcPr>
            <w:tcW w:type="dxa" w:w="1481"/>
            <w:vAlign w:val="center"/>
          </w:tcPr>
          <w:p>
            <w:r>
              <w:t>₹800/crore</w:t>
            </w:r>
          </w:p>
        </w:tc>
        <w:tc>
          <w:tcPr>
            <w:tcW w:type="dxa" w:w="1481"/>
            <w:vAlign w:val="center"/>
          </w:tcPr>
          <w:p>
            <w:r>
              <w:t>₹1,680</w:t>
            </w:r>
          </w:p>
        </w:tc>
      </w:tr>
      <w:tr>
        <w:tc>
          <w:tcPr>
            <w:tcW w:type="dxa" w:w="1481"/>
            <w:vAlign w:val="center"/>
          </w:tcPr>
          <w:p>
            <w:r>
              <w:t>MCX PER_LOT</w:t>
            </w:r>
          </w:p>
        </w:tc>
        <w:tc>
          <w:tcPr>
            <w:tcW w:type="dxa" w:w="1481"/>
            <w:vAlign w:val="center"/>
          </w:tcPr>
          <w:p>
            <w:r>
              <w:t>45000</w:t>
            </w:r>
          </w:p>
        </w:tc>
        <w:tc>
          <w:tcPr>
            <w:tcW w:type="dxa" w:w="1481"/>
            <w:vAlign w:val="center"/>
          </w:tcPr>
          <w:p>
            <w:r>
              <w:t>45100</w:t>
            </w:r>
          </w:p>
        </w:tc>
        <w:tc>
          <w:tcPr>
            <w:tcW w:type="dxa" w:w="1481"/>
            <w:vAlign w:val="center"/>
          </w:tcPr>
          <w:p>
            <w:r>
              <w:t>2 lots</w:t>
            </w:r>
          </w:p>
        </w:tc>
        <w:tc>
          <w:tcPr>
            <w:tcW w:type="dxa" w:w="1481"/>
            <w:vAlign w:val="center"/>
          </w:tcPr>
          <w:p>
            <w:r>
              <w:t>N/A</w:t>
            </w:r>
          </w:p>
        </w:tc>
        <w:tc>
          <w:tcPr>
            <w:tcW w:type="dxa" w:w="1481"/>
            <w:vAlign w:val="center"/>
          </w:tcPr>
          <w:p>
            <w:r>
              <w:t>₹20/lot</w:t>
            </w:r>
          </w:p>
        </w:tc>
        <w:tc>
          <w:tcPr>
            <w:tcW w:type="dxa" w:w="1481"/>
            <w:vAlign w:val="center"/>
          </w:tcPr>
          <w:p>
            <w:r>
              <w:t>₹40</w:t>
            </w:r>
          </w:p>
        </w:tc>
      </w:tr>
    </w:tbl>
    <w:p>
      <w:pPr>
        <w:pStyle w:val="Heading1"/>
      </w:pPr>
      <w:r>
        <w:t>6. Brokerage – Segment Rules in calculateTradeBrokerage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Brokerage Type / Source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Important Rule</w:t>
            </w:r>
          </w:p>
        </w:tc>
      </w:tr>
      <w:tr>
        <w:tc>
          <w:tcPr>
            <w:tcW w:type="dxa" w:w="3456"/>
            <w:vAlign w:val="center"/>
          </w:tcPr>
          <w:p>
            <w:r>
              <w:t>MCX</w:t>
            </w:r>
          </w:p>
        </w:tc>
        <w:tc>
          <w:tcPr>
            <w:tcW w:type="dxa" w:w="3456"/>
            <w:vAlign w:val="center"/>
          </w:tcPr>
          <w:p>
            <w:r>
              <w:t>clientConfig.mcxBrokerage + mcxBrokerageType</w:t>
            </w:r>
          </w:p>
        </w:tc>
        <w:tc>
          <w:tcPr>
            <w:tcW w:type="dxa" w:w="3456"/>
            <w:vAlign w:val="center"/>
          </w:tcPr>
          <w:p>
            <w:r>
              <w:t>Can be PER_CRORE or PER_LOT; scrip map may override.</w:t>
            </w:r>
          </w:p>
        </w:tc>
      </w:tr>
      <w:tr>
        <w:tc>
          <w:tcPr>
            <w:tcW w:type="dxa" w:w="3456"/>
            <w:vAlign w:val="center"/>
          </w:tcPr>
          <w:p>
            <w:r>
              <w:t>Options</w:t>
            </w:r>
          </w:p>
        </w:tc>
        <w:tc>
          <w:tcPr>
            <w:tcW w:type="dxa" w:w="3456"/>
            <w:vAlign w:val="center"/>
          </w:tcPr>
          <w:p>
            <w:r>
              <w:t>Index / Equity / MCX config</w:t>
            </w:r>
          </w:p>
        </w:tc>
        <w:tc>
          <w:tcPr>
            <w:tcW w:type="dxa" w:w="3456"/>
            <w:vAlign w:val="center"/>
          </w:tcPr>
          <w:p>
            <w:r>
              <w:t>Brokerage type selected separately for each options segment.</w:t>
            </w:r>
          </w:p>
        </w:tc>
      </w:tr>
      <w:tr>
        <w:tc>
          <w:tcPr>
            <w:tcW w:type="dxa" w:w="3456"/>
            <w:vAlign w:val="center"/>
          </w:tcPr>
          <w:p>
            <w:r>
              <w:t>Equity/NSE/NFO</w:t>
            </w:r>
          </w:p>
        </w:tc>
        <w:tc>
          <w:tcPr>
            <w:tcW w:type="dxa" w:w="3456"/>
            <w:vAlign w:val="center"/>
          </w:tcPr>
          <w:p>
            <w:r>
              <w:t>clientConfig equity brokerage</w:t>
            </w:r>
          </w:p>
        </w:tc>
        <w:tc>
          <w:tcPr>
            <w:tcW w:type="dxa" w:w="3456"/>
            <w:vAlign w:val="center"/>
          </w:tcPr>
          <w:p>
            <w:r>
              <w:t>Forced to PER_CRORE in centralized helper.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COMEX</w:t>
            </w:r>
          </w:p>
        </w:tc>
        <w:tc>
          <w:tcPr>
            <w:tcW w:type="dxa" w:w="3456"/>
            <w:vAlign w:val="center"/>
          </w:tcPr>
          <w:p>
            <w:r>
              <w:t>comexConfig or clientConfig</w:t>
            </w:r>
          </w:p>
        </w:tc>
        <w:tc>
          <w:tcPr>
            <w:tcW w:type="dxa" w:w="3456"/>
            <w:vAlign w:val="center"/>
          </w:tcPr>
          <w:p>
            <w:r>
              <w:t>Uses configured brokerageType; international conversion for PER_CRORE.</w:t>
            </w:r>
          </w:p>
        </w:tc>
      </w:tr>
      <w:tr>
        <w:tc>
          <w:tcPr>
            <w:tcW w:type="dxa" w:w="3456"/>
            <w:vAlign w:val="center"/>
          </w:tcPr>
          <w:p>
            <w:r>
              <w:t>FOREX</w:t>
            </w:r>
          </w:p>
        </w:tc>
        <w:tc>
          <w:tcPr>
            <w:tcW w:type="dxa" w:w="3456"/>
            <w:vAlign w:val="center"/>
          </w:tcPr>
          <w:p>
            <w:r>
              <w:t>forexConfig or clientConfig</w:t>
            </w:r>
          </w:p>
        </w:tc>
        <w:tc>
          <w:tcPr>
            <w:tcW w:type="dxa" w:w="3456"/>
            <w:vAlign w:val="center"/>
          </w:tcPr>
          <w:p>
            <w:r>
              <w:t>Uses configured brokerageType; international conversion for PER_CRORE.</w:t>
            </w:r>
          </w:p>
        </w:tc>
      </w:tr>
      <w:tr>
        <w:tc>
          <w:tcPr>
            <w:tcW w:type="dxa" w:w="3456"/>
            <w:vAlign w:val="center"/>
          </w:tcPr>
          <w:p>
            <w:r>
              <w:t>CRYPTO</w:t>
            </w:r>
          </w:p>
        </w:tc>
        <w:tc>
          <w:tcPr>
            <w:tcW w:type="dxa" w:w="3456"/>
            <w:vAlign w:val="center"/>
          </w:tcPr>
          <w:p>
            <w:r>
              <w:t>cryptoConfig or clientConfig</w:t>
            </w:r>
          </w:p>
        </w:tc>
        <w:tc>
          <w:tcPr>
            <w:tcW w:type="dxa" w:w="3456"/>
            <w:vAlign w:val="center"/>
          </w:tcPr>
          <w:p>
            <w:r>
              <w:t>Uses configured brokerageType; international conversion for PER_CRORE.</w:t>
            </w:r>
          </w:p>
        </w:tc>
      </w:tr>
    </w:tbl>
    <w:p>
      <w:pPr>
        <w:pStyle w:val="Heading1"/>
      </w:pPr>
      <w:r>
        <w:t>7. Margin – Segment Margin Calculator</w:t>
      </w:r>
    </w:p>
    <w:p>
      <w:pPr>
        <w:pStyle w:val="Heading2"/>
      </w:pPr>
      <w:r>
        <w:t>7.1 Market Type Detection</w:t>
      </w:r>
    </w:p>
    <w:p>
      <w:pPr>
        <w:pStyle w:val="ListBullet"/>
      </w:pPr>
      <w:r>
        <w:t>Symbol can auto-correct marketType for MCX, FOREX, CRYPTO and COMEX.</w:t>
      </w:r>
    </w:p>
    <w:p>
      <w:pPr>
        <w:pStyle w:val="ListBullet"/>
      </w:pPr>
      <w:r>
        <w:t>Options are detected from CE/PE suffix or marketType OPTIONS.</w:t>
      </w:r>
    </w:p>
    <w:p>
      <w:r>
        <w:rPr>
          <w:b/>
        </w:rPr>
        <w:t xml:space="preserve">NOTE: </w:t>
      </w:r>
      <w:r>
        <w:t>This can affect which configuration block and exposure values are selected.</w:t>
      </w:r>
    </w:p>
    <w:p>
      <w:pPr>
        <w:pStyle w:val="Heading2"/>
      </w:pPr>
      <w:r>
        <w:t>7.2 Exposure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Intraday Exposure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Holding Exposure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Exposure Basis</w:t>
            </w:r>
          </w:p>
        </w:tc>
      </w:tr>
      <w:tr>
        <w:tc>
          <w:tcPr>
            <w:tcW w:type="dxa" w:w="2592"/>
            <w:vAlign w:val="center"/>
          </w:tcPr>
          <w:p>
            <w:r>
              <w:t>MCX non-option</w:t>
            </w:r>
          </w:p>
        </w:tc>
        <w:tc>
          <w:tcPr>
            <w:tcW w:type="dxa" w:w="2592"/>
            <w:vAlign w:val="center"/>
          </w:tcPr>
          <w:p>
            <w:r>
              <w:t>mcxIntradayMargin aliases</w:t>
            </w:r>
          </w:p>
        </w:tc>
        <w:tc>
          <w:tcPr>
            <w:tcW w:type="dxa" w:w="2592"/>
            <w:vAlign w:val="center"/>
          </w:tcPr>
          <w:p>
            <w:r>
              <w:t>mcxHoldingMargin aliases</w:t>
            </w:r>
          </w:p>
        </w:tc>
        <w:tc>
          <w:tcPr>
            <w:tcW w:type="dxa" w:w="2592"/>
            <w:vAlign w:val="center"/>
          </w:tcPr>
          <w:p>
            <w:r>
              <w:t>Configured mcxExposureType</w:t>
            </w:r>
          </w:p>
        </w:tc>
      </w:tr>
      <w:tr>
        <w:tc>
          <w:tcPr>
            <w:tcW w:type="dxa" w:w="2592"/>
            <w:vAlign w:val="center"/>
          </w:tcPr>
          <w:p>
            <w:r>
              <w:t>Options MCX</w:t>
            </w:r>
          </w:p>
        </w:tc>
        <w:tc>
          <w:tcPr>
            <w:tcW w:type="dxa" w:w="2592"/>
            <w:vAlign w:val="center"/>
          </w:tcPr>
          <w:p>
            <w:r>
              <w:t>optionsMcxIntraday</w:t>
            </w:r>
          </w:p>
        </w:tc>
        <w:tc>
          <w:tcPr>
            <w:tcW w:type="dxa" w:w="2592"/>
            <w:vAlign w:val="center"/>
          </w:tcPr>
          <w:p>
            <w:r>
              <w:t>optionsMcxHolding</w:t>
            </w:r>
          </w:p>
        </w:tc>
        <w:tc>
          <w:tcPr>
            <w:tcW w:type="dxa" w:w="2592"/>
            <w:vAlign w:val="center"/>
          </w:tcPr>
          <w:p>
            <w:r>
              <w:t>optionsExposureType</w:t>
            </w:r>
          </w:p>
        </w:tc>
      </w:tr>
      <w:tr>
        <w:tc>
          <w:tcPr>
            <w:tcW w:type="dxa" w:w="2592"/>
            <w:vAlign w:val="center"/>
          </w:tcPr>
          <w:p>
            <w:r>
              <w:t>Options Index</w:t>
            </w:r>
          </w:p>
        </w:tc>
        <w:tc>
          <w:tcPr>
            <w:tcW w:type="dxa" w:w="2592"/>
            <w:vAlign w:val="center"/>
          </w:tcPr>
          <w:p>
            <w:r>
              <w:t>optionsIndexIntraday</w:t>
            </w:r>
          </w:p>
        </w:tc>
        <w:tc>
          <w:tcPr>
            <w:tcW w:type="dxa" w:w="2592"/>
            <w:vAlign w:val="center"/>
          </w:tcPr>
          <w:p>
            <w:r>
              <w:t>optionsIndexHolding</w:t>
            </w:r>
          </w:p>
        </w:tc>
        <w:tc>
          <w:tcPr>
            <w:tcW w:type="dxa" w:w="2592"/>
            <w:vAlign w:val="center"/>
          </w:tcPr>
          <w:p>
            <w:r>
              <w:t>optionsExposureType</w:t>
            </w:r>
          </w:p>
        </w:tc>
      </w:tr>
      <w:tr>
        <w:tc>
          <w:tcPr>
            <w:tcW w:type="dxa" w:w="2592"/>
            <w:vAlign w:val="center"/>
          </w:tcPr>
          <w:p>
            <w:r>
              <w:t>Options Equity</w:t>
            </w:r>
          </w:p>
        </w:tc>
        <w:tc>
          <w:tcPr>
            <w:tcW w:type="dxa" w:w="2592"/>
            <w:vAlign w:val="center"/>
          </w:tcPr>
          <w:p>
            <w:r>
              <w:t>optionsEquityIntraday</w:t>
            </w:r>
          </w:p>
        </w:tc>
        <w:tc>
          <w:tcPr>
            <w:tcW w:type="dxa" w:w="2592"/>
            <w:vAlign w:val="center"/>
          </w:tcPr>
          <w:p>
            <w:r>
              <w:t>optionsEquityHolding</w:t>
            </w:r>
          </w:p>
        </w:tc>
        <w:tc>
          <w:tcPr>
            <w:tcW w:type="dxa" w:w="2592"/>
            <w:vAlign w:val="center"/>
          </w:tcPr>
          <w:p>
            <w:r>
              <w:t>optionsExposureType</w:t>
            </w:r>
          </w:p>
        </w:tc>
      </w:tr>
      <w:tr>
        <w:tc>
          <w:tcPr>
            <w:tcW w:type="dxa" w:w="2592"/>
            <w:vAlign w:val="center"/>
          </w:tcPr>
          <w:p>
            <w:r>
              <w:t>Equity/NSE/NFO</w:t>
            </w:r>
          </w:p>
        </w:tc>
        <w:tc>
          <w:tcPr>
            <w:tcW w:type="dxa" w:w="2592"/>
            <w:vAlign w:val="center"/>
          </w:tcPr>
          <w:p>
            <w:r>
              <w:t>equityIntradayMargin aliases</w:t>
            </w:r>
          </w:p>
        </w:tc>
        <w:tc>
          <w:tcPr>
            <w:tcW w:type="dxa" w:w="2592"/>
            <w:vAlign w:val="center"/>
          </w:tcPr>
          <w:p>
            <w:r>
              <w:t>equityHoldingMargin aliases</w:t>
            </w:r>
          </w:p>
        </w:tc>
        <w:tc>
          <w:tcPr>
            <w:tcW w:type="dxa" w:w="2592"/>
            <w:vAlign w:val="center"/>
          </w:tcPr>
          <w:p>
            <w:r>
              <w:t>PER_TURNOVER_BASIS</w:t>
            </w:r>
          </w:p>
        </w:tc>
      </w:tr>
      <w:tr>
        <w:tc>
          <w:tcPr>
            <w:tcW w:type="dxa" w:w="2592"/>
            <w:vAlign w:val="center"/>
          </w:tcPr>
          <w:p>
            <w:r>
              <w:t>COMEX/FOREX/CRYPTO</w:t>
            </w:r>
          </w:p>
        </w:tc>
        <w:tc>
          <w:tcPr>
            <w:tcW w:type="dxa" w:w="2592"/>
            <w:vAlign w:val="center"/>
          </w:tcPr>
          <w:p>
            <w:r>
              <w:t>segment/root intraday aliases</w:t>
            </w:r>
          </w:p>
        </w:tc>
        <w:tc>
          <w:tcPr>
            <w:tcW w:type="dxa" w:w="2592"/>
            <w:vAlign w:val="center"/>
          </w:tcPr>
          <w:p>
            <w:r>
              <w:t>segment/root holding aliases</w:t>
            </w:r>
          </w:p>
        </w:tc>
        <w:tc>
          <w:tcPr>
            <w:tcW w:type="dxa" w:w="2592"/>
            <w:vAlign w:val="center"/>
          </w:tcPr>
          <w:p>
            <w:r>
              <w:t>segment exposureType</w:t>
            </w:r>
          </w:p>
        </w:tc>
      </w:tr>
    </w:tbl>
    <w:p>
      <w:r>
        <w:rPr>
          <w:b/>
        </w:rPr>
        <w:t xml:space="preserve">NOTE: </w:t>
      </w:r>
      <w:r>
        <w:t>Defaults in the provided margin helper: intraday exposure 500 and holding exposure 100 unless valid configuration is found.</w:t>
      </w:r>
    </w:p>
    <w:p>
      <w:pPr>
        <w:pStyle w:val="Heading2"/>
      </w:pPr>
      <w:r>
        <w:t>7.3 Actual Quantity for Margin</w:t>
      </w:r>
    </w:p>
    <w:p>
      <w:r>
        <w:rPr>
          <w:rFonts w:ascii="Consolas" w:hAnsi="Consolas"/>
          <w:b/>
          <w:sz w:val="18"/>
        </w:rPr>
        <w:t>MCX: Actual Qty = qty × lotSize (unless isUnitMode)</w:t>
      </w:r>
    </w:p>
    <w:p>
      <w:r>
        <w:rPr>
          <w:rFonts w:ascii="Consolas" w:hAnsi="Consolas"/>
          <w:b/>
          <w:sz w:val="18"/>
        </w:rPr>
        <w:t>Equity/NSE/NFO/OPTIONS: if not Unit Mode and qty &lt; lotSize, Actual Qty = qty × lotSize; otherwise Actual Qty = qty</w:t>
      </w:r>
    </w:p>
    <w:p>
      <w:r>
        <w:rPr>
          <w:rFonts w:ascii="Consolas" w:hAnsi="Consolas"/>
          <w:b/>
          <w:sz w:val="18"/>
        </w:rPr>
        <w:t>International: Actual Qty = qty × effective lot size (unless Unit Mode)</w:t>
      </w:r>
    </w:p>
    <w:p>
      <w:pPr>
        <w:pStyle w:val="Heading2"/>
      </w:pPr>
      <w:r>
        <w:t>7.4 International Effective Lot Size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Symbol family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Fallback Lot Size</w:t>
            </w:r>
          </w:p>
        </w:tc>
      </w:tr>
      <w:tr>
        <w:tc>
          <w:tcPr>
            <w:tcW w:type="dxa" w:w="5184"/>
            <w:vAlign w:val="center"/>
          </w:tcPr>
          <w:p>
            <w:r>
              <w:t>EURUSD / GBPUSD / USDCHF / USDJPY / AUDCAD</w:t>
            </w:r>
          </w:p>
        </w:tc>
        <w:tc>
          <w:tcPr>
            <w:tcW w:type="dxa" w:w="5184"/>
            <w:vAlign w:val="center"/>
          </w:tcPr>
          <w:p>
            <w: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USDINR</w:t>
            </w:r>
          </w:p>
        </w:tc>
        <w:tc>
          <w:tcPr>
            <w:tcW w:type="dxa" w:w="5184"/>
            <w:vAlign w:val="center"/>
          </w:tcPr>
          <w:p>
            <w:r>
              <w:t>1,000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USOIL / UKOIL</w:t>
            </w:r>
          </w:p>
        </w:tc>
        <w:tc>
          <w:tcPr>
            <w:tcW w:type="dxa" w:w="5184"/>
            <w:vAlign w:val="center"/>
          </w:tcPr>
          <w:p>
            <w:r>
              <w:t>1,000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NGAS</w:t>
            </w:r>
          </w:p>
        </w:tc>
        <w:tc>
          <w:tcPr>
            <w:tcW w:type="dxa" w:w="5184"/>
            <w:vAlign w:val="center"/>
          </w:tcPr>
          <w:p>
            <w:r>
              <w:t>10,000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XAUUSD</w:t>
            </w:r>
          </w:p>
        </w:tc>
        <w:tc>
          <w:tcPr>
            <w:tcW w:type="dxa" w:w="5184"/>
            <w:vAlign w:val="center"/>
          </w:tcPr>
          <w:p>
            <w: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>
              <w:t>XAGUSD</w:t>
            </w:r>
          </w:p>
        </w:tc>
        <w:tc>
          <w:tcPr>
            <w:tcW w:type="dxa" w:w="5184"/>
            <w:vAlign w:val="center"/>
          </w:tcPr>
          <w:p>
            <w:r>
              <w:t>5,000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COPPER</w:t>
            </w:r>
          </w:p>
        </w:tc>
        <w:tc>
          <w:tcPr>
            <w:tcW w:type="dxa" w:w="5184"/>
            <w:vAlign w:val="center"/>
          </w:tcPr>
          <w:p>
            <w:r>
              <w:t>2,500</w:t>
            </w:r>
          </w:p>
        </w:tc>
      </w:tr>
    </w:tbl>
    <w:p>
      <w:pPr>
        <w:pStyle w:val="Heading2"/>
      </w:pPr>
      <w:r>
        <w:t>7.5 PER_LOT_BASIS Margin</w:t>
      </w:r>
    </w:p>
    <w:p>
      <w:r>
        <w:rPr>
          <w:rFonts w:ascii="Consolas" w:hAnsi="Consolas"/>
          <w:b/>
          <w:sz w:val="18"/>
        </w:rPr>
        <w:t>If symbol-specific margin exists: Margin = Lot Count × Margin Per Lot</w:t>
      </w:r>
    </w:p>
    <w:p>
      <w:r>
        <w:rPr>
          <w:rFonts w:ascii="Consolas" w:hAnsi="Consolas"/>
          <w:b/>
          <w:sz w:val="18"/>
        </w:rPr>
        <w:t>Lot Count = qty / lotSize when qty appears to already be total quantity; otherwise Lot Count = qty</w:t>
      </w:r>
    </w:p>
    <w:p>
      <w:r>
        <w:rPr>
          <w:rFonts w:ascii="Consolas" w:hAnsi="Consolas"/>
          <w:b/>
          <w:sz w:val="18"/>
        </w:rPr>
        <w:t>If no symbol-specific margin exists: Margin = (Price × Actual Qty) ÷ Active Exposure</w:t>
      </w:r>
    </w:p>
    <w:p>
      <w:r>
        <w:rPr>
          <w:b/>
        </w:rPr>
        <w:t xml:space="preserve">NOTE: </w:t>
      </w:r>
      <w:r>
        <w:t>Active Exposure = Holding Exposure for holding trades; Intraday Exposure otherwise.</w:t>
      </w:r>
    </w:p>
    <w:p>
      <w:pPr>
        <w:pStyle w:val="Heading2"/>
      </w:pPr>
      <w:r>
        <w:t>7.6 PER_TURNOVER_BASIS Margin</w:t>
      </w:r>
    </w:p>
    <w:p>
      <w:r>
        <w:rPr>
          <w:rFonts w:ascii="Consolas" w:hAnsi="Consolas"/>
          <w:b/>
          <w:sz w:val="18"/>
        </w:rPr>
        <w:t>Turnover = Price × Actual Qty</w:t>
      </w:r>
    </w:p>
    <w:p>
      <w:r>
        <w:rPr>
          <w:rFonts w:ascii="Consolas" w:hAnsi="Consolas"/>
          <w:b/>
          <w:sz w:val="18"/>
        </w:rPr>
        <w:t>For FOREX/CRYPTO/COMEX/COMMODITY, non-INR pairs: Turnover INR = Turnover × fallbackUsdInr</w:t>
      </w:r>
    </w:p>
    <w:p>
      <w:r>
        <w:rPr>
          <w:rFonts w:ascii="Consolas" w:hAnsi="Consolas"/>
          <w:b/>
          <w:sz w:val="18"/>
        </w:rPr>
        <w:t>Margin = Turnover INR ÷ Active Exposure</w:t>
      </w:r>
    </w:p>
    <w:p>
      <w:r>
        <w:rPr>
          <w:b/>
        </w:rPr>
        <w:t xml:space="preserve">NOTE: </w:t>
      </w:r>
      <w:r>
        <w:t>Direct INR pairs are not multiplied by fallbackUsdInr.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Lot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Exposure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Expected Margin</w:t>
            </w:r>
          </w:p>
        </w:tc>
      </w:tr>
      <w:tr>
        <w:tc>
          <w:tcPr>
            <w:tcW w:type="dxa" w:w="1481"/>
            <w:vAlign w:val="center"/>
          </w:tcPr>
          <w:p>
            <w:r>
              <w:t>MCX Gold, intraday, per-turnover</w:t>
            </w:r>
          </w:p>
        </w:tc>
        <w:tc>
          <w:tcPr>
            <w:tcW w:type="dxa" w:w="1481"/>
            <w:vAlign w:val="center"/>
          </w:tcPr>
          <w:p>
            <w:r>
              <w:t>45000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200</w:t>
            </w:r>
          </w:p>
        </w:tc>
        <w:tc>
          <w:tcPr>
            <w:tcW w:type="dxa" w:w="1481"/>
            <w:vAlign w:val="center"/>
          </w:tcPr>
          <w:p>
            <w:r>
              <w:t>(45000×200)/200</w:t>
            </w:r>
          </w:p>
        </w:tc>
        <w:tc>
          <w:tcPr>
            <w:tcW w:type="dxa" w:w="1481"/>
            <w:vAlign w:val="center"/>
          </w:tcPr>
          <w:p>
            <w:r>
              <w:t>₹45,000</w:t>
            </w:r>
          </w:p>
        </w:tc>
      </w:tr>
      <w:tr>
        <w:tc>
          <w:tcPr>
            <w:tcW w:type="dxa" w:w="1481"/>
            <w:vAlign w:val="center"/>
          </w:tcPr>
          <w:p>
            <w:r>
              <w:t>MCX Gold, holding, per-turnover</w:t>
            </w:r>
          </w:p>
        </w:tc>
        <w:tc>
          <w:tcPr>
            <w:tcW w:type="dxa" w:w="1481"/>
            <w:vAlign w:val="center"/>
          </w:tcPr>
          <w:p>
            <w:r>
              <w:t>45000</w:t>
            </w:r>
          </w:p>
        </w:tc>
        <w:tc>
          <w:tcPr>
            <w:tcW w:type="dxa" w:w="1481"/>
            <w:vAlign w:val="center"/>
          </w:tcPr>
          <w:p>
            <w:r>
              <w:t>2</w:t>
            </w:r>
          </w:p>
        </w:tc>
        <w:tc>
          <w:tcPr>
            <w:tcW w:type="dxa" w:w="1481"/>
            <w:vAlign w:val="center"/>
          </w:tcPr>
          <w:p>
            <w:r>
              <w:t>100</w:t>
            </w:r>
          </w:p>
        </w:tc>
        <w:tc>
          <w:tcPr>
            <w:tcW w:type="dxa" w:w="1481"/>
            <w:vAlign w:val="center"/>
          </w:tcPr>
          <w:p>
            <w:r>
              <w:t>800</w:t>
            </w:r>
          </w:p>
        </w:tc>
        <w:tc>
          <w:tcPr>
            <w:tcW w:type="dxa" w:w="1481"/>
            <w:vAlign w:val="center"/>
          </w:tcPr>
          <w:p>
            <w:r>
              <w:t>(45000×200)/800</w:t>
            </w:r>
          </w:p>
        </w:tc>
        <w:tc>
          <w:tcPr>
            <w:tcW w:type="dxa" w:w="1481"/>
            <w:vAlign w:val="center"/>
          </w:tcPr>
          <w:p>
            <w:r>
              <w:t>₹11,250</w:t>
            </w:r>
          </w:p>
        </w:tc>
      </w:tr>
      <w:tr>
        <w:tc>
          <w:tcPr>
            <w:tcW w:type="dxa" w:w="1481"/>
            <w:vAlign w:val="center"/>
          </w:tcPr>
          <w:p>
            <w:r>
              <w:t>BTC, intraday, per-turnover</w:t>
            </w:r>
          </w:p>
        </w:tc>
        <w:tc>
          <w:tcPr>
            <w:tcW w:type="dxa" w:w="1481"/>
            <w:vAlign w:val="center"/>
          </w:tcPr>
          <w:p>
            <w:r>
              <w:t>85000</w:t>
            </w:r>
          </w:p>
        </w:tc>
        <w:tc>
          <w:tcPr>
            <w:tcW w:type="dxa" w:w="1481"/>
            <w:vAlign w:val="center"/>
          </w:tcPr>
          <w:p>
            <w:r>
              <w:t>1</w:t>
            </w:r>
          </w:p>
        </w:tc>
        <w:tc>
          <w:tcPr>
            <w:tcW w:type="dxa" w:w="1481"/>
            <w:vAlign w:val="center"/>
          </w:tcPr>
          <w:p>
            <w:r>
              <w:t>1</w:t>
            </w:r>
          </w:p>
        </w:tc>
        <w:tc>
          <w:tcPr>
            <w:tcW w:type="dxa" w:w="1481"/>
            <w:vAlign w:val="center"/>
          </w:tcPr>
          <w:p>
            <w:r>
              <w:t>500</w:t>
            </w:r>
          </w:p>
        </w:tc>
        <w:tc>
          <w:tcPr>
            <w:tcW w:type="dxa" w:w="1481"/>
            <w:vAlign w:val="center"/>
          </w:tcPr>
          <w:p>
            <w:r>
              <w:t>(85000×1×USDINR)/500</w:t>
            </w:r>
          </w:p>
        </w:tc>
        <w:tc>
          <w:tcPr>
            <w:tcW w:type="dxa" w:w="1481"/>
            <w:vAlign w:val="center"/>
          </w:tcPr>
          <w:p>
            <w:r>
              <w:t>Depends on fallbackUsdInr</w:t>
            </w:r>
          </w:p>
        </w:tc>
      </w:tr>
      <w:tr>
        <w:tc>
          <w:tcPr>
            <w:tcW w:type="dxa" w:w="1481"/>
            <w:vAlign w:val="center"/>
          </w:tcPr>
          <w:p>
            <w:r>
              <w:t>EURUSD, intraday</w:t>
            </w:r>
          </w:p>
        </w:tc>
        <w:tc>
          <w:tcPr>
            <w:tcW w:type="dxa" w:w="1481"/>
            <w:vAlign w:val="center"/>
          </w:tcPr>
          <w:p>
            <w:r>
              <w:t>1.10</w:t>
            </w:r>
          </w:p>
        </w:tc>
        <w:tc>
          <w:tcPr>
            <w:tcW w:type="dxa" w:w="1481"/>
            <w:vAlign w:val="center"/>
          </w:tcPr>
          <w:p>
            <w:r>
              <w:t>1</w:t>
            </w:r>
          </w:p>
        </w:tc>
        <w:tc>
          <w:tcPr>
            <w:tcW w:type="dxa" w:w="1481"/>
            <w:vAlign w:val="center"/>
          </w:tcPr>
          <w:p>
            <w:r>
              <w:t>100000</w:t>
            </w:r>
          </w:p>
        </w:tc>
        <w:tc>
          <w:tcPr>
            <w:tcW w:type="dxa" w:w="1481"/>
            <w:vAlign w:val="center"/>
          </w:tcPr>
          <w:p>
            <w:r>
              <w:t>500</w:t>
            </w:r>
          </w:p>
        </w:tc>
        <w:tc>
          <w:tcPr>
            <w:tcW w:type="dxa" w:w="1481"/>
            <w:vAlign w:val="center"/>
          </w:tcPr>
          <w:p>
            <w:r>
              <w:t>(1.10×100000×USDINR)/500</w:t>
            </w:r>
          </w:p>
        </w:tc>
        <w:tc>
          <w:tcPr>
            <w:tcW w:type="dxa" w:w="1481"/>
            <w:vAlign w:val="center"/>
          </w:tcPr>
          <w:p>
            <w:r>
              <w:t>Depends on fallbackUsdInr</w:t>
            </w:r>
          </w:p>
        </w:tc>
      </w:tr>
    </w:tbl>
    <w:p>
      <w:pPr>
        <w:pStyle w:val="Heading1"/>
      </w:pPr>
      <w:r>
        <w:t>8. Margin vs Brokerage – Keep Them Separate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Formula Basis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Uses Entry+Exit?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Uses Exposure?</w:t>
            </w:r>
          </w:p>
        </w:tc>
      </w:tr>
      <w:tr>
        <w:tc>
          <w:tcPr>
            <w:tcW w:type="dxa" w:w="2074"/>
            <w:vAlign w:val="center"/>
          </w:tcPr>
          <w:p>
            <w:r>
              <w:t>PnL</w:t>
            </w:r>
          </w:p>
        </w:tc>
        <w:tc>
          <w:tcPr>
            <w:tcW w:type="dxa" w:w="2074"/>
            <w:vAlign w:val="center"/>
          </w:tcPr>
          <w:p>
            <w:r>
              <w:t>Profit/Loss</w:t>
            </w:r>
          </w:p>
        </w:tc>
        <w:tc>
          <w:tcPr>
            <w:tcW w:type="dxa" w:w="2074"/>
            <w:vAlign w:val="center"/>
          </w:tcPr>
          <w:p>
            <w:r>
              <w:t>Price difference × quantity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</w:tr>
      <w:tr>
        <w:tc>
          <w:tcPr>
            <w:tcW w:type="dxa" w:w="2074"/>
            <w:vAlign w:val="center"/>
          </w:tcPr>
          <w:p>
            <w:r>
              <w:t>Margin</w:t>
            </w:r>
          </w:p>
        </w:tc>
        <w:tc>
          <w:tcPr>
            <w:tcW w:type="dxa" w:w="2074"/>
            <w:vAlign w:val="center"/>
          </w:tcPr>
          <w:p>
            <w:r>
              <w:t>Required trading/holding funds</w:t>
            </w:r>
          </w:p>
        </w:tc>
        <w:tc>
          <w:tcPr>
            <w:tcW w:type="dxa" w:w="2074"/>
            <w:vAlign w:val="center"/>
          </w:tcPr>
          <w:p>
            <w:r>
              <w:t>Price × quantity ÷ exposure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  <w:tc>
          <w:tcPr>
            <w:tcW w:type="dxa" w:w="2074"/>
            <w:vAlign w:val="center"/>
          </w:tcPr>
          <w:p>
            <w:r>
              <w:t>Yes</w:t>
            </w:r>
          </w:p>
        </w:tc>
      </w:tr>
      <w:tr>
        <w:tc>
          <w:tcPr>
            <w:tcW w:type="dxa" w:w="2074"/>
            <w:vAlign w:val="center"/>
          </w:tcPr>
          <w:p>
            <w:r>
              <w:t>Brokerage PER_LOT</w:t>
            </w:r>
          </w:p>
        </w:tc>
        <w:tc>
          <w:tcPr>
            <w:tcW w:type="dxa" w:w="2074"/>
            <w:vAlign w:val="center"/>
          </w:tcPr>
          <w:p>
            <w:r>
              <w:t>Trading charge</w:t>
            </w:r>
          </w:p>
        </w:tc>
        <w:tc>
          <w:tcPr>
            <w:tcW w:type="dxa" w:w="2074"/>
            <w:vAlign w:val="center"/>
          </w:tcPr>
          <w:p>
            <w:r>
              <w:t>Lots × rate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</w:tr>
      <w:tr>
        <w:tc>
          <w:tcPr>
            <w:tcW w:type="dxa" w:w="2074"/>
            <w:vAlign w:val="center"/>
          </w:tcPr>
          <w:p>
            <w:r>
              <w:t>Brokerage PER_CRORE</w:t>
            </w:r>
          </w:p>
        </w:tc>
        <w:tc>
          <w:tcPr>
            <w:tcW w:type="dxa" w:w="2074"/>
            <w:vAlign w:val="center"/>
          </w:tcPr>
          <w:p>
            <w:r>
              <w:t>Turnover-based charge</w:t>
            </w:r>
          </w:p>
        </w:tc>
        <w:tc>
          <w:tcPr>
            <w:tcW w:type="dxa" w:w="2074"/>
            <w:vAlign w:val="center"/>
          </w:tcPr>
          <w:p>
            <w:r>
              <w:t>(Entry+Exit) × quantity ÷ crore × rate</w:t>
            </w:r>
          </w:p>
        </w:tc>
        <w:tc>
          <w:tcPr>
            <w:tcW w:type="dxa" w:w="2074"/>
            <w:vAlign w:val="center"/>
          </w:tcPr>
          <w:p>
            <w:r>
              <w:t>Yes</w:t>
            </w:r>
          </w:p>
        </w:tc>
        <w:tc>
          <w:tcPr>
            <w:tcW w:type="dxa" w:w="2074"/>
            <w:vAlign w:val="center"/>
          </w:tcPr>
          <w:p>
            <w:r>
              <w:t>No</w:t>
            </w:r>
          </w:p>
        </w:tc>
      </w:tr>
    </w:tbl>
    <w:p>
      <w:pPr>
        <w:pStyle w:val="Heading1"/>
      </w:pPr>
      <w:r>
        <w:t>9. Exact BTC/USD Test Case</w:t>
      </w:r>
    </w:p>
    <w:p>
      <w:r>
        <w:rPr>
          <w:rFonts w:ascii="Consolas" w:hAnsi="Consolas"/>
          <w:b/>
          <w:sz w:val="18"/>
        </w:rPr>
        <w:t>Entry = 85,578.03; Exit = 85,557.95; Qty = 1; Lot Size = 1</w:t>
      </w:r>
    </w:p>
    <w:p>
      <w:r>
        <w:rPr>
          <w:rFonts w:ascii="Consolas" w:hAnsi="Consolas"/>
          <w:b/>
          <w:sz w:val="18"/>
        </w:rPr>
        <w:t>Raw PnL USD = 85,557.95 − 85,578.03 = −20.08 USD</w:t>
      </w:r>
    </w:p>
    <w:p>
      <w:r>
        <w:rPr>
          <w:rFonts w:ascii="Consolas" w:hAnsi="Consolas"/>
          <w:b/>
          <w:sz w:val="18"/>
        </w:rPr>
        <w:t>PnL INR = −20.08 × selected negative-PnL USD/INR rate</w:t>
      </w:r>
    </w:p>
    <w:p>
      <w:r>
        <w:rPr>
          <w:rFonts w:ascii="Consolas" w:hAnsi="Consolas"/>
          <w:b/>
          <w:sz w:val="18"/>
        </w:rPr>
        <w:t>Brokerage turnover USD = (85,578.03 + 85,557.95) × 1 = 171,135.98 USD</w:t>
      </w:r>
    </w:p>
    <w:p>
      <w:r>
        <w:rPr>
          <w:rFonts w:ascii="Consolas" w:hAnsi="Consolas"/>
          <w:b/>
          <w:sz w:val="18"/>
        </w:rPr>
        <w:t>Brokerage turnover INR = 171,135.98 × brokerage USD/INR rate</w:t>
      </w:r>
    </w:p>
    <w:p>
      <w:r>
        <w:rPr>
          <w:rFonts w:ascii="Consolas" w:hAnsi="Consolas"/>
          <w:b/>
          <w:sz w:val="18"/>
        </w:rPr>
        <w:t>Brokerage @ ₹800/crore = (Turnover INR ÷ 1,00,00,000) × 800</w:t>
      </w:r>
    </w:p>
    <w:p>
      <w:r>
        <w:rPr>
          <w:b/>
        </w:rPr>
        <w:t xml:space="preserve">NOTE: </w:t>
      </w:r>
      <w:r>
        <w:t>Important: the PnL helper and brokerage helper receive separate USD/INR inputs and can therefore use different rates. The supplied code does not automatically force them to be the same rate.</w:t>
      </w:r>
    </w:p>
    <w:p>
      <w:pPr>
        <w:pStyle w:val="Heading1"/>
      </w:pPr>
      <w:r>
        <w:t>10. Testing Checklist</w:t>
      </w:r>
    </w:p>
    <w:p>
      <w:pPr>
        <w:pStyle w:val="ListBullet"/>
      </w:pPr>
      <w:r>
        <w:t>☐ Test BUY profit and BUY loss for every segment.</w:t>
      </w:r>
    </w:p>
    <w:p>
      <w:pPr>
        <w:pStyle w:val="ListBullet"/>
      </w:pPr>
      <w:r>
        <w:t>☐ Test SELL profit and SELL loss for every segment.</w:t>
      </w:r>
    </w:p>
    <w:p>
      <w:pPr>
        <w:pStyle w:val="ListBullet"/>
      </w:pPr>
      <w:r>
        <w:t>☐ Test Lot Mode and Unit Mode separately.</w:t>
      </w:r>
    </w:p>
    <w:p>
      <w:pPr>
        <w:pStyle w:val="ListBullet"/>
      </w:pPr>
      <w:r>
        <w:t>☐ Test actualQty present vs absent.</w:t>
      </w:r>
    </w:p>
    <w:p>
      <w:pPr>
        <w:pStyle w:val="ListBullet"/>
      </w:pPr>
      <w:r>
        <w:t>☐ Test qtyInput vs qty fallback.</w:t>
      </w:r>
    </w:p>
    <w:p>
      <w:pPr>
        <w:pStyle w:val="ListBullet"/>
      </w:pPr>
      <w:r>
        <w:t>☐ Test PER_LOT brokerage.</w:t>
      </w:r>
    </w:p>
    <w:p>
      <w:pPr>
        <w:pStyle w:val="ListBullet"/>
      </w:pPr>
      <w:r>
        <w:t>☐ Test PER_CRORE brokerage.</w:t>
      </w:r>
    </w:p>
    <w:p>
      <w:pPr>
        <w:pStyle w:val="ListBullet"/>
      </w:pPr>
      <w:r>
        <w:t>☐ Test scrip-specific brokerage overriding generic brokerage.</w:t>
      </w:r>
    </w:p>
    <w:p>
      <w:pPr>
        <w:pStyle w:val="ListBullet"/>
      </w:pPr>
      <w:r>
        <w:t>☐ Test MCX symbol-specific margin and fallback margin.</w:t>
      </w:r>
    </w:p>
    <w:p>
      <w:pPr>
        <w:pStyle w:val="ListBullet"/>
      </w:pPr>
      <w:r>
        <w:t>☐ Test intraday margin and holding margin separately.</w:t>
      </w:r>
    </w:p>
    <w:p>
      <w:pPr>
        <w:pStyle w:val="ListBullet"/>
      </w:pPr>
      <w:r>
        <w:t>☐ Test direct USDINR pair without double USD→INR conversion.</w:t>
      </w:r>
    </w:p>
    <w:p>
      <w:pPr>
        <w:pStyle w:val="ListBullet"/>
      </w:pPr>
      <w:r>
        <w:t>☐ Test EURUSD/BTC/Gold/Silver with positive and negative PnL.</w:t>
      </w:r>
    </w:p>
    <w:p>
      <w:pPr>
        <w:pStyle w:val="ListBullet"/>
      </w:pPr>
      <w:r>
        <w:t>☐ Test liveBid/liveAsk available and unavailable.</w:t>
      </w:r>
    </w:p>
    <w:p>
      <w:pPr>
        <w:pStyle w:val="ListBullet"/>
      </w:pPr>
      <w:r>
        <w:t>☐ Test international fallback USD/INR conversion.</w:t>
      </w:r>
    </w:p>
    <w:p>
      <w:pPr>
        <w:pStyle w:val="ListBullet"/>
      </w:pPr>
      <w:r>
        <w:t>☐ Verify brokerage rate source: scrip map → user_segments → client_settings.</w:t>
      </w:r>
    </w:p>
    <w:p>
      <w:pPr>
        <w:pStyle w:val="ListBullet"/>
      </w:pPr>
      <w:r>
        <w:t>☐ Verify duplicate-client configuration actually carries the brokerage and margin fields used by these helpers.</w:t>
      </w:r>
    </w:p>
    <w:p>
      <w:pPr>
        <w:pStyle w:val="Heading1"/>
      </w:pPr>
      <w:r>
        <w:t>11. Important Code-Level Observations for Testing</w:t>
      </w:r>
    </w:p>
    <w:p>
      <w:pPr>
        <w:pStyle w:val="ListBullet"/>
      </w:pPr>
      <w:r>
        <w:t>Brokerage PER_CRORE uses Entry + Exit, so it represents combined buy/sell turnover in this helper.</w:t>
      </w:r>
    </w:p>
    <w:p>
      <w:pPr>
        <w:pStyle w:val="ListBullet"/>
      </w:pPr>
      <w:r>
        <w:t>Brokerage international PER_CRORE conversion uses the usdInrRate passed to calcBrokerageFromRate; default is 83.5.</w:t>
      </w:r>
    </w:p>
    <w:p>
      <w:pPr>
        <w:pStyle w:val="ListBullet"/>
      </w:pPr>
      <w:r>
        <w:t>PnL international conversion uses liveAsk for positive PnL and liveBid for negative PnL; fallback uses 95.1 × 0.90 or × 1.10.</w:t>
      </w:r>
    </w:p>
    <w:p>
      <w:pPr>
        <w:pStyle w:val="ListBullet"/>
      </w:pPr>
      <w:r>
        <w:t>Margin international conversion uses fallbackUsdInr directly; the provided margin helper default is 86.68.</w:t>
      </w:r>
    </w:p>
    <w:p>
      <w:pPr>
        <w:pStyle w:val="ListBullet"/>
      </w:pPr>
      <w:r>
        <w:t>Therefore three different default FX rates exist in the supplied code: Brokerage 83.5, PnL 95.1, Margin 86.68.</w:t>
      </w:r>
    </w:p>
    <w:p>
      <w:pPr>
        <w:pStyle w:val="ListBullet"/>
      </w:pPr>
      <w:r>
        <w:t>This document records the current formulas; it does not assume that different FX-rate rules are a bug.</w:t>
      </w:r>
    </w:p>
    <w:p>
      <w:pPr>
        <w:pStyle w:val="ListBullet"/>
      </w:pPr>
      <w:r>
        <w:t>For duplicate-client testing, verify that all clientConfig keys consumed by brokerage and margin are copied to the duplicate.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