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720"/>
        <w:jc w:val="center"/>
      </w:pPr>
      <w:r>
        <w:rPr>
          <w:rFonts w:ascii="Arial" w:cs="Arial" w:eastAsia="Arial" w:hAnsi="Arial"/>
          <w:b/>
          <w:bCs/>
          <w:color w:val="1E3A5F"/>
          <w:sz w:val="48"/>
          <w:szCs w:val="48"/>
        </w:rPr>
        <w:t xml:space="preserve">ESP32-Based IoT Honeypot System</w:t>
      </w:r>
    </w:p>
    <w:p>
      <w:pPr>
        <w:spacing w:after="60" w:before="80"/>
        <w:jc w:val="center"/>
      </w:pPr>
      <w:r>
        <w:rPr>
          <w:rFonts w:ascii="Arial" w:cs="Arial" w:eastAsia="Arial" w:hAnsi="Arial"/>
          <w:color w:val="2E5FA3"/>
          <w:sz w:val="32"/>
          <w:szCs w:val="32"/>
        </w:rPr>
        <w:t xml:space="preserve">Review-1 Literature Survey</w:t>
      </w:r>
    </w:p>
    <w:p>
      <w:pPr>
        <w:spacing w:after="480" w:before="60"/>
        <w:jc w:val="center"/>
      </w:pPr>
      <w:r>
        <w:rPr>
          <w:rFonts w:ascii="Arial" w:cs="Arial" w:eastAsia="Arial" w:hAnsi="Arial"/>
          <w:i/>
          <w:iCs/>
          <w:color w:val="888888"/>
          <w:sz w:val="24"/>
          <w:szCs w:val="24"/>
        </w:rPr>
        <w:t xml:space="preserve">Patent Analysis  ·  Industry Case Study  ·  Proposed Improvement</w:t>
      </w:r>
    </w:p>
    <w:tbl>
      <w:tblPr>
        <w:tblW w:type="dxa" w:w="7200"/>
        <w:jc w:val="center"/>
        <w:tblBorders>
          <w:top w:val="single" w:color="auto" w:sz="4"/>
          <w:left w:val="single" w:color="auto" w:sz="4"/>
          <w:bottom w:val="single" w:color="auto" w:sz="4"/>
          <w:right w:val="single" w:color="auto" w:sz="4"/>
          <w:insideH w:val="single" w:color="auto" w:sz="4"/>
          <w:insideV w:val="single" w:color="auto" w:sz="4"/>
        </w:tblBorders>
      </w:tblPr>
      <w:tblGrid>
        <w:gridCol w:w="2400"/>
        <w:gridCol w:w="4800"/>
      </w:tblGrid>
      <w:tr>
        <w:tc>
          <w:tcPr>
            <w:tcW w:type="dxa" w:w="2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Student ID</w:t>
            </w:r>
          </w:p>
        </w:tc>
        <w:tc>
          <w:tcPr>
            <w:tcW w:type="dxa" w:w="4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23BDS0051</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Name</w:t>
            </w:r>
          </w:p>
        </w:tc>
        <w:tc>
          <w:tcPr>
            <w:tcW w:type="dxa" w:w="4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Rohit Phaniram Sakamuri</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Subject</w:t>
            </w:r>
          </w:p>
        </w:tc>
        <w:tc>
          <w:tcPr>
            <w:tcW w:type="dxa" w:w="4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Embedded Systems</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Project Title</w:t>
            </w:r>
          </w:p>
        </w:tc>
        <w:tc>
          <w:tcPr>
            <w:tcW w:type="dxa" w:w="4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IoT Honeypot on ESP32</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Date</w:t>
            </w:r>
          </w:p>
        </w:tc>
        <w:tc>
          <w:tcPr>
            <w:tcW w:type="dxa" w:w="4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April 2026</w:t>
            </w:r>
          </w:p>
        </w:tc>
      </w:tr>
    </w:tbl>
    <w:p>
      <w:r>
        <w:br w:type="page"/>
      </w:r>
    </w:p>
    <w:p>
      <w:pPr>
        <w:pStyle w:val="Heading1"/>
        <w:pBdr>
          <w:bottom w:val="single" w:color="1E3A5F" w:sz="6" w:space="4"/>
        </w:pBdr>
        <w:spacing w:after="180" w:before="360"/>
      </w:pPr>
      <w:r>
        <w:rPr>
          <w:rFonts w:ascii="Arial" w:cs="Arial" w:eastAsia="Arial" w:hAnsi="Arial"/>
          <w:b/>
          <w:bCs/>
          <w:color w:val="1E3A5F"/>
          <w:sz w:val="32"/>
          <w:szCs w:val="32"/>
        </w:rPr>
        <w:t xml:space="preserve">SECTION 1: Patent Analysis</w:t>
      </w:r>
    </w:p>
    <w:p>
      <w:pPr>
        <w:pStyle w:val="Heading2"/>
        <w:spacing w:after="120" w:before="280"/>
      </w:pPr>
      <w:r>
        <w:rPr>
          <w:rFonts w:ascii="Arial" w:cs="Arial" w:eastAsia="Arial" w:hAnsi="Arial"/>
          <w:b/>
          <w:bCs/>
          <w:color w:val="2E5FA3"/>
          <w:sz w:val="26"/>
          <w:szCs w:val="26"/>
        </w:rPr>
        <w:t xml:space="preserve">1.1  Identified Patent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E3A5F" w:sz="1"/>
              <w:left w:val="single" w:color="1E3A5F" w:sz="1"/>
              <w:bottom w:val="single" w:color="1E3A5F" w:sz="1"/>
              <w:right w:val="single" w:color="1E3A5F" w:sz="1"/>
            </w:tcBorders>
            <w:shd w:fill="1E3A5F" w:val="clear"/>
            <w:tcMar>
              <w:top w:type="dxa" w:w="100"/>
              <w:left w:type="dxa" w:w="150"/>
              <w:bottom w:type="dxa" w:w="100"/>
              <w:right w:type="dxa" w:w="150"/>
            </w:tcMar>
          </w:tcPr>
          <w:p>
            <w:r>
              <w:rPr>
                <w:rFonts w:ascii="Arial" w:cs="Arial" w:eastAsia="Arial" w:hAnsi="Arial"/>
                <w:b/>
                <w:bCs/>
                <w:color w:val="FFFFFF"/>
                <w:sz w:val="22"/>
                <w:szCs w:val="22"/>
              </w:rPr>
              <w:t xml:space="preserve">Field</w:t>
            </w:r>
          </w:p>
        </w:tc>
        <w:tc>
          <w:tcPr>
            <w:tcW w:type="dxa" w:w="6560"/>
            <w:tcBorders>
              <w:top w:val="single" w:color="1E3A5F" w:sz="1"/>
              <w:left w:val="single" w:color="1E3A5F" w:sz="1"/>
              <w:bottom w:val="single" w:color="1E3A5F" w:sz="1"/>
              <w:right w:val="single" w:color="1E3A5F" w:sz="1"/>
            </w:tcBorders>
            <w:shd w:fill="1E3A5F" w:val="clear"/>
            <w:tcMar>
              <w:top w:type="dxa" w:w="100"/>
              <w:left w:type="dxa" w:w="150"/>
              <w:bottom w:type="dxa" w:w="100"/>
              <w:right w:type="dxa" w:w="150"/>
            </w:tcMar>
          </w:tcPr>
          <w:p>
            <w:r>
              <w:rPr>
                <w:rFonts w:ascii="Arial" w:cs="Arial" w:eastAsia="Arial" w:hAnsi="Arial"/>
                <w:b/>
                <w:bCs/>
                <w:color w:val="FFFFFF"/>
                <w:sz w:val="22"/>
                <w:szCs w:val="22"/>
              </w:rPr>
              <w:t xml:space="preserve">Details</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Patent Title</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Intelligent-Interaction Honeypot for IoT Devices (IoTCandyJar)</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US Patent No.</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US 10,986,126 B2</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Publication Date</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April 20, 2021</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Priority Date</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July 25, 2017 (Provisional: US 62/536,718)</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Source</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Justia Patents / Google Patents (US20190081980A1)</w:t>
            </w:r>
          </w:p>
        </w:tc>
      </w:tr>
    </w:tbl>
    <w:p>
      <w:pPr>
        <w:spacing w:after="60" w:before="60"/>
      </w:pPr>
      <w:r>
        <w:t xml:space="preserve"/>
      </w:r>
    </w:p>
    <w:p>
      <w:pPr>
        <w:pStyle w:val="Heading2"/>
        <w:spacing w:after="120" w:before="280"/>
      </w:pPr>
      <w:r>
        <w:rPr>
          <w:rFonts w:ascii="Arial" w:cs="Arial" w:eastAsia="Arial" w:hAnsi="Arial"/>
          <w:b/>
          <w:bCs/>
          <w:color w:val="2E5FA3"/>
          <w:sz w:val="26"/>
          <w:szCs w:val="26"/>
        </w:rPr>
        <w:t xml:space="preserve">1.2  Technical Summary of the Patent</w:t>
      </w:r>
    </w:p>
    <w:p>
      <w:pPr>
        <w:spacing w:after="80" w:before="80"/>
        <w:jc w:val="both"/>
      </w:pPr>
      <w:r>
        <w:rPr>
          <w:rFonts w:ascii="Arial" w:cs="Arial" w:eastAsia="Arial" w:hAnsi="Arial"/>
          <w:sz w:val="22"/>
          <w:szCs w:val="22"/>
        </w:rPr>
        <w:t xml:space="preserve">The patent US 10,986,126 B2 titled "Intelligent-Interaction Honeypot for IoT Devices" discloses a system and method for creating a high-fidelity, machine-learning-driven honeypot infrastructure specifically designed to emulate IoT device behaviour at the network level. The invention was originally presented as the IoTCandyJar research framework and subsequently formalized as a granted patent.</w:t>
      </w:r>
    </w:p>
    <w:p>
      <w:pPr>
        <w:spacing w:after="60" w:before="60"/>
      </w:pPr>
      <w:r>
        <w:t xml:space="preserve"/>
      </w:r>
    </w:p>
    <w:p>
      <w:pPr>
        <w:pStyle w:val="Heading3"/>
        <w:spacing w:after="100" w:before="200"/>
      </w:pPr>
      <w:r>
        <w:rPr>
          <w:rFonts w:ascii="Arial" w:cs="Arial" w:eastAsia="Arial" w:hAnsi="Arial"/>
          <w:b/>
          <w:bCs/>
          <w:color w:val="3A7CA5"/>
          <w:sz w:val="24"/>
          <w:szCs w:val="24"/>
        </w:rPr>
        <w:t xml:space="preserve">1.2.1  Core Technical Claim</w:t>
      </w:r>
    </w:p>
    <w:p>
      <w:pPr>
        <w:spacing w:after="80" w:before="80"/>
        <w:jc w:val="both"/>
      </w:pPr>
      <w:r>
        <w:rPr>
          <w:rFonts w:ascii="Arial" w:cs="Arial" w:eastAsia="Arial" w:hAnsi="Arial"/>
          <w:sz w:val="22"/>
          <w:szCs w:val="22"/>
        </w:rPr>
        <w:t xml:space="preserve">The central claim of the patent describes a system that:</w:t>
      </w:r>
    </w:p>
    <w:p>
      <w:pPr>
        <w:pStyle w:val="ListParagraph"/>
        <w:numPr>
          <w:ilvl w:val="0"/>
          <w:numId w:val="2"/>
        </w:numPr>
        <w:spacing w:after="60" w:before="60"/>
      </w:pPr>
      <w:r>
        <w:rPr>
          <w:rFonts w:ascii="Arial" w:cs="Arial" w:eastAsia="Arial" w:hAnsi="Arial"/>
          <w:sz w:val="22"/>
          <w:szCs w:val="22"/>
        </w:rPr>
        <w:t xml:space="preserve">Receives a network request from an attacker directed at an IP address associated with a designated honeypot instance for IoT devices.</w:t>
      </w:r>
    </w:p>
    <w:p>
      <w:pPr>
        <w:pStyle w:val="ListParagraph"/>
        <w:numPr>
          <w:ilvl w:val="0"/>
          <w:numId w:val="2"/>
        </w:numPr>
        <w:spacing w:after="60" w:before="60"/>
      </w:pPr>
      <w:r>
        <w:rPr>
          <w:rFonts w:ascii="Arial" w:cs="Arial" w:eastAsia="Arial" w:hAnsi="Arial"/>
          <w:sz w:val="22"/>
          <w:szCs w:val="22"/>
        </w:rPr>
        <w:t xml:space="preserve">Determines the appropriate response to that request using a machine-learning-trained data store containing a plurality of responses paired with associated IoT device metadata and firmware fingerprints.</w:t>
      </w:r>
    </w:p>
    <w:p>
      <w:pPr>
        <w:pStyle w:val="ListParagraph"/>
        <w:numPr>
          <w:ilvl w:val="0"/>
          <w:numId w:val="2"/>
        </w:numPr>
        <w:spacing w:after="60" w:before="60"/>
      </w:pPr>
      <w:r>
        <w:rPr>
          <w:rFonts w:ascii="Arial" w:cs="Arial" w:eastAsia="Arial" w:hAnsi="Arial"/>
          <w:sz w:val="22"/>
          <w:szCs w:val="22"/>
        </w:rPr>
        <w:t xml:space="preserve">Returns the response to the attacker such that the attacker cannot distinguish the emulated response from a response originating from a genuine, physical IoT device.</w:t>
      </w:r>
    </w:p>
    <w:p>
      <w:pPr>
        <w:spacing w:after="60" w:before="60"/>
      </w:pPr>
      <w:r>
        <w:t xml:space="preserve"/>
      </w:r>
    </w:p>
    <w:p>
      <w:pPr>
        <w:spacing w:after="80" w:before="80"/>
        <w:jc w:val="both"/>
      </w:pPr>
      <w:r>
        <w:rPr>
          <w:rFonts w:ascii="Arial" w:cs="Arial" w:eastAsia="Arial" w:hAnsi="Arial"/>
          <w:sz w:val="22"/>
          <w:szCs w:val="22"/>
        </w:rPr>
        <w:t xml:space="preserve">The data store is populated through an automated active-probing pipeline in which real, internet-facing IoT devices (routers, modems, cameras, smart bulbs, etc.) are scanned and their HTTP, Telnet, UART-based banner responses, and firmware-specific headers are recorded. This corpus is then used to train the response-selection mechanism.</w:t>
      </w:r>
    </w:p>
    <w:p>
      <w:pPr>
        <w:spacing w:after="60" w:before="60"/>
      </w:pPr>
      <w:r>
        <w:t xml:space="preserve"/>
      </w:r>
    </w:p>
    <w:p>
      <w:pPr>
        <w:pStyle w:val="Heading3"/>
        <w:spacing w:after="100" w:before="200"/>
      </w:pPr>
      <w:r>
        <w:rPr>
          <w:rFonts w:ascii="Arial" w:cs="Arial" w:eastAsia="Arial" w:hAnsi="Arial"/>
          <w:b/>
          <w:bCs/>
          <w:color w:val="3A7CA5"/>
          <w:sz w:val="24"/>
          <w:szCs w:val="24"/>
        </w:rPr>
        <w:t xml:space="preserve">1.2.2  Machine Learning Component</w:t>
      </w:r>
    </w:p>
    <w:p>
      <w:pPr>
        <w:spacing w:after="80" w:before="80"/>
        <w:jc w:val="both"/>
      </w:pPr>
      <w:r>
        <w:rPr>
          <w:rFonts w:ascii="Arial" w:cs="Arial" w:eastAsia="Arial" w:hAnsi="Arial"/>
          <w:sz w:val="22"/>
          <w:szCs w:val="22"/>
        </w:rPr>
        <w:t xml:space="preserve">Unlike earlier honeypots such as Honeyd, which relied on static response templates for each protocol, the IoTCandyJar patent introduces an automated learning pipeline. The system builds a state-machine model of protocol interactions by:</w:t>
      </w:r>
    </w:p>
    <w:p>
      <w:pPr>
        <w:pStyle w:val="ListParagraph"/>
        <w:numPr>
          <w:ilvl w:val="0"/>
          <w:numId w:val="2"/>
        </w:numPr>
        <w:spacing w:after="60" w:before="60"/>
      </w:pPr>
      <w:r>
        <w:rPr>
          <w:rFonts w:ascii="Arial" w:cs="Arial" w:eastAsia="Arial" w:hAnsi="Arial"/>
          <w:sz w:val="22"/>
          <w:szCs w:val="22"/>
        </w:rPr>
        <w:t xml:space="preserve">Clustering captured traffic using unsupervised machine learning to identify common request-response sequences.</w:t>
      </w:r>
    </w:p>
    <w:p>
      <w:pPr>
        <w:pStyle w:val="ListParagraph"/>
        <w:numPr>
          <w:ilvl w:val="0"/>
          <w:numId w:val="2"/>
        </w:numPr>
        <w:spacing w:after="60" w:before="60"/>
      </w:pPr>
      <w:r>
        <w:rPr>
          <w:rFonts w:ascii="Arial" w:cs="Arial" w:eastAsia="Arial" w:hAnsi="Arial"/>
          <w:sz w:val="22"/>
          <w:szCs w:val="22"/>
        </w:rPr>
        <w:t xml:space="preserve">Building probabilistic transition models for multi-turn protocol conversations (e.g., Telnet login negotiation, HTTP GET/POST cycles).</w:t>
      </w:r>
    </w:p>
    <w:p>
      <w:pPr>
        <w:pStyle w:val="ListParagraph"/>
        <w:numPr>
          <w:ilvl w:val="0"/>
          <w:numId w:val="2"/>
        </w:numPr>
        <w:spacing w:after="60" w:before="60"/>
      </w:pPr>
      <w:r>
        <w:rPr>
          <w:rFonts w:ascii="Arial" w:cs="Arial" w:eastAsia="Arial" w:hAnsi="Arial"/>
          <w:sz w:val="22"/>
          <w:szCs w:val="22"/>
        </w:rPr>
        <w:t xml:space="preserve">Using the resulting model to generate contextually appropriate multi-step responses — not just single static replies — thereby defeating attacker scanners that probe for stateful consistency.</w:t>
      </w:r>
    </w:p>
    <w:p>
      <w:pPr>
        <w:spacing w:after="60" w:before="60"/>
      </w:pPr>
      <w:r>
        <w:t xml:space="preserve"/>
      </w:r>
    </w:p>
    <w:p>
      <w:pPr>
        <w:pStyle w:val="Heading3"/>
        <w:spacing w:after="100" w:before="200"/>
      </w:pPr>
      <w:r>
        <w:rPr>
          <w:rFonts w:ascii="Arial" w:cs="Arial" w:eastAsia="Arial" w:hAnsi="Arial"/>
          <w:b/>
          <w:bCs/>
          <w:color w:val="3A7CA5"/>
          <w:sz w:val="24"/>
          <w:szCs w:val="24"/>
        </w:rPr>
        <w:t xml:space="preserve">1.2.3  Device-Specific Emulation Examples Cited in the Patent</w:t>
      </w:r>
    </w:p>
    <w:p>
      <w:pPr>
        <w:spacing w:after="80" w:before="80"/>
        <w:jc w:val="both"/>
      </w:pPr>
      <w:r>
        <w:rPr>
          <w:rFonts w:ascii="Arial" w:cs="Arial" w:eastAsia="Arial" w:hAnsi="Arial"/>
          <w:sz w:val="22"/>
          <w:szCs w:val="22"/>
        </w:rPr>
        <w:t xml:space="preserve">The patent specifically cites detection of the following device-fingerprinting checks performed by real-world attack tools: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1E3A5F" w:sz="1"/>
              <w:left w:val="single" w:color="1E3A5F" w:sz="1"/>
              <w:bottom w:val="single" w:color="1E3A5F" w:sz="1"/>
              <w:right w:val="single" w:color="1E3A5F" w:sz="1"/>
            </w:tcBorders>
            <w:shd w:fill="1E3A5F" w:val="clear"/>
            <w:tcMar>
              <w:top w:type="dxa" w:w="100"/>
              <w:left w:type="dxa" w:w="150"/>
              <w:bottom w:type="dxa" w:w="100"/>
              <w:right w:type="dxa" w:w="150"/>
            </w:tcMar>
          </w:tcPr>
          <w:p>
            <w:r>
              <w:rPr>
                <w:rFonts w:ascii="Arial" w:cs="Arial" w:eastAsia="Arial" w:hAnsi="Arial"/>
                <w:b/>
                <w:bCs/>
                <w:color w:val="FFFFFF"/>
                <w:sz w:val="22"/>
                <w:szCs w:val="22"/>
              </w:rPr>
              <w:t xml:space="preserve">IoT Device / Vendor</w:t>
            </w:r>
          </w:p>
        </w:tc>
        <w:tc>
          <w:tcPr>
            <w:tcW w:type="dxa" w:w="3120"/>
            <w:tcBorders>
              <w:top w:val="single" w:color="1E3A5F" w:sz="1"/>
              <w:left w:val="single" w:color="1E3A5F" w:sz="1"/>
              <w:bottom w:val="single" w:color="1E3A5F" w:sz="1"/>
              <w:right w:val="single" w:color="1E3A5F" w:sz="1"/>
            </w:tcBorders>
            <w:shd w:fill="1E3A5F" w:val="clear"/>
            <w:tcMar>
              <w:top w:type="dxa" w:w="100"/>
              <w:left w:type="dxa" w:w="150"/>
              <w:bottom w:type="dxa" w:w="100"/>
              <w:right w:type="dxa" w:w="150"/>
            </w:tcMar>
          </w:tcPr>
          <w:p>
            <w:r>
              <w:rPr>
                <w:rFonts w:ascii="Arial" w:cs="Arial" w:eastAsia="Arial" w:hAnsi="Arial"/>
                <w:b/>
                <w:bCs/>
                <w:color w:val="FFFFFF"/>
                <w:sz w:val="22"/>
                <w:szCs w:val="22"/>
              </w:rPr>
              <w:t xml:space="preserve">Protocol / Field Checked</w:t>
            </w:r>
          </w:p>
        </w:tc>
        <w:tc>
          <w:tcPr>
            <w:tcW w:type="dxa" w:w="3120"/>
            <w:tcBorders>
              <w:top w:val="single" w:color="1E3A5F" w:sz="1"/>
              <w:left w:val="single" w:color="1E3A5F" w:sz="1"/>
              <w:bottom w:val="single" w:color="1E3A5F" w:sz="1"/>
              <w:right w:val="single" w:color="1E3A5F" w:sz="1"/>
            </w:tcBorders>
            <w:shd w:fill="1E3A5F" w:val="clear"/>
            <w:tcMar>
              <w:top w:type="dxa" w:w="100"/>
              <w:left w:type="dxa" w:w="150"/>
              <w:bottom w:type="dxa" w:w="100"/>
              <w:right w:type="dxa" w:w="150"/>
            </w:tcMar>
          </w:tcPr>
          <w:p>
            <w:r>
              <w:rPr>
                <w:rFonts w:ascii="Arial" w:cs="Arial" w:eastAsia="Arial" w:hAnsi="Arial"/>
                <w:b/>
                <w:bCs/>
                <w:color w:val="FFFFFF"/>
                <w:sz w:val="22"/>
                <w:szCs w:val="22"/>
              </w:rPr>
              <w:t xml:space="preserve">Patent Response Strategy</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NETGEAR R7000 / R6400 Router</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HTTP User-Agent / WWW-Authenticate Header</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Inject vendor-specific auth challenge strings matching real firmware</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IP Cameras (Generic)</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RTSP DESCRIBE banner</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Return firmware version string extracted from real device scans</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Smart Home Hubs</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UPnP SSDP M-SEARCH response</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Return device description XML replicating real UPNP profiles</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Telnet-exposed devices</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Login banner and credential prompts</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Multi-turn interaction matching Mirai botnet scanning sequences</w:t>
            </w:r>
          </w:p>
        </w:tc>
      </w:tr>
    </w:tbl>
    <w:p>
      <w:pPr>
        <w:spacing w:after="60" w:before="60"/>
      </w:pPr>
      <w:r>
        <w:t xml:space="preserve"/>
      </w:r>
    </w:p>
    <w:p>
      <w:pPr>
        <w:pStyle w:val="Heading3"/>
        <w:spacing w:after="100" w:before="200"/>
      </w:pPr>
      <w:r>
        <w:rPr>
          <w:rFonts w:ascii="Arial" w:cs="Arial" w:eastAsia="Arial" w:hAnsi="Arial"/>
          <w:b/>
          <w:bCs/>
          <w:color w:val="3A7CA5"/>
          <w:sz w:val="24"/>
          <w:szCs w:val="24"/>
        </w:rPr>
        <w:t xml:space="preserve">1.2.4  Relevance to Our ESP32 Honeypot Project</w:t>
      </w:r>
    </w:p>
    <w:p>
      <w:pPr>
        <w:spacing w:after="80" w:before="80"/>
        <w:jc w:val="both"/>
      </w:pPr>
      <w:r>
        <w:rPr>
          <w:rFonts w:ascii="Arial" w:cs="Arial" w:eastAsia="Arial" w:hAnsi="Arial"/>
          <w:sz w:val="22"/>
          <w:szCs w:val="22"/>
        </w:rPr>
        <w:t xml:space="preserve">Our ESP32-based honeypot project operates in the same domain as this patent: it emulates an IoT endpoint and lures attackers into interacting with a decoy instead of a real sensor node or gateway. The patent's technical approach is directly applicable to our work in the following ways:</w:t>
      </w:r>
    </w:p>
    <w:p>
      <w:pPr>
        <w:pStyle w:val="ListParagraph"/>
        <w:numPr>
          <w:ilvl w:val="0"/>
          <w:numId w:val="2"/>
        </w:numPr>
        <w:spacing w:after="60" w:before="60"/>
      </w:pPr>
      <w:r>
        <w:rPr>
          <w:rFonts w:ascii="Arial" w:cs="Arial" w:eastAsia="Arial" w:hAnsi="Arial"/>
          <w:sz w:val="22"/>
          <w:szCs w:val="22"/>
        </w:rPr>
        <w:t xml:space="preserve">The patent demonstrates that static honeypots are ineffective against modern scanners that perform multi-round protocol fingerprinting. Our ESP32 honeypot must therefore implement stateful response logic, not merely open TCP ports.</w:t>
      </w:r>
    </w:p>
    <w:p>
      <w:pPr>
        <w:pStyle w:val="ListParagraph"/>
        <w:numPr>
          <w:ilvl w:val="0"/>
          <w:numId w:val="2"/>
        </w:numPr>
        <w:spacing w:after="60" w:before="60"/>
      </w:pPr>
      <w:r>
        <w:rPr>
          <w:rFonts w:ascii="Arial" w:cs="Arial" w:eastAsia="Arial" w:hAnsi="Arial"/>
          <w:sz w:val="22"/>
          <w:szCs w:val="22"/>
        </w:rPr>
        <w:t xml:space="preserve">The patent's approach of probing real devices to build a response corpus is a validated methodology. On ESP32, we can achieve a constrained analog by pre-loading commonly observed HTTP/Telnet banners and MQTT handshake sequences into flash memory.</w:t>
      </w:r>
    </w:p>
    <w:p>
      <w:pPr>
        <w:pStyle w:val="ListParagraph"/>
        <w:numPr>
          <w:ilvl w:val="0"/>
          <w:numId w:val="2"/>
        </w:numPr>
        <w:spacing w:after="60" w:before="60"/>
      </w:pPr>
      <w:r>
        <w:rPr>
          <w:rFonts w:ascii="Arial" w:cs="Arial" w:eastAsia="Arial" w:hAnsi="Arial"/>
          <w:sz w:val="22"/>
          <w:szCs w:val="22"/>
        </w:rPr>
        <w:t xml:space="preserve">The patent's emphasis on defeating honeypot-detection fingerprinting (via consistent HTTP headers, timing responses, and banner strings) is a direct design target for our firmware.</w:t>
      </w:r>
    </w:p>
    <w:p>
      <w:pPr>
        <w:spacing w:after="60" w:before="60"/>
      </w:pPr>
      <w:r>
        <w:t xml:space="preserve"/>
      </w:r>
    </w:p>
    <w:p>
      <w:pPr>
        <w:spacing w:after="100" w:before="60"/>
      </w:pPr>
      <w:r>
        <w:rPr>
          <w:rFonts w:ascii="Arial" w:cs="Arial" w:eastAsia="Arial" w:hAnsi="Arial"/>
          <w:i/>
          <w:iCs/>
          <w:color w:val="555555"/>
          <w:sz w:val="20"/>
          <w:szCs w:val="20"/>
        </w:rPr>
        <w:t xml:space="preserve">Patent Reference: US 10,986,126 B2 (IoTCandyJar: Intelligent-Interaction Honeypot for IoT Devices). Filed: July 24, 2018. Granted: April 20, 2021. Assignee: University of California.</w:t>
      </w:r>
    </w:p>
    <w:p>
      <w:r>
        <w:br w:type="page"/>
      </w:r>
    </w:p>
    <w:p>
      <w:pPr>
        <w:pStyle w:val="Heading1"/>
        <w:pBdr>
          <w:bottom w:val="single" w:color="1E3A5F" w:sz="6" w:space="4"/>
        </w:pBdr>
        <w:spacing w:after="180" w:before="360"/>
      </w:pPr>
      <w:r>
        <w:rPr>
          <w:rFonts w:ascii="Arial" w:cs="Arial" w:eastAsia="Arial" w:hAnsi="Arial"/>
          <w:b/>
          <w:bCs/>
          <w:color w:val="1E3A5F"/>
          <w:sz w:val="32"/>
          <w:szCs w:val="32"/>
        </w:rPr>
        <w:t xml:space="preserve">SECTION 2: Company Case Study — Attivo Networks (SentinelOne)</w:t>
      </w:r>
    </w:p>
    <w:p>
      <w:pPr>
        <w:pStyle w:val="Heading2"/>
        <w:spacing w:after="120" w:before="280"/>
      </w:pPr>
      <w:r>
        <w:rPr>
          <w:rFonts w:ascii="Arial" w:cs="Arial" w:eastAsia="Arial" w:hAnsi="Arial"/>
          <w:b/>
          <w:bCs/>
          <w:color w:val="2E5FA3"/>
          <w:sz w:val="26"/>
          <w:szCs w:val="26"/>
        </w:rPr>
        <w:t xml:space="preserve">2.1  Company Profile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E3A5F" w:sz="1"/>
              <w:left w:val="single" w:color="1E3A5F" w:sz="1"/>
              <w:bottom w:val="single" w:color="1E3A5F" w:sz="1"/>
              <w:right w:val="single" w:color="1E3A5F" w:sz="1"/>
            </w:tcBorders>
            <w:shd w:fill="1E3A5F" w:val="clear"/>
            <w:tcMar>
              <w:top w:type="dxa" w:w="100"/>
              <w:left w:type="dxa" w:w="150"/>
              <w:bottom w:type="dxa" w:w="100"/>
              <w:right w:type="dxa" w:w="150"/>
            </w:tcMar>
          </w:tcPr>
          <w:p>
            <w:r>
              <w:rPr>
                <w:rFonts w:ascii="Arial" w:cs="Arial" w:eastAsia="Arial" w:hAnsi="Arial"/>
                <w:b/>
                <w:bCs/>
                <w:color w:val="FFFFFF"/>
                <w:sz w:val="22"/>
                <w:szCs w:val="22"/>
              </w:rPr>
              <w:t xml:space="preserve">Field</w:t>
            </w:r>
          </w:p>
        </w:tc>
        <w:tc>
          <w:tcPr>
            <w:tcW w:type="dxa" w:w="6560"/>
            <w:tcBorders>
              <w:top w:val="single" w:color="1E3A5F" w:sz="1"/>
              <w:left w:val="single" w:color="1E3A5F" w:sz="1"/>
              <w:bottom w:val="single" w:color="1E3A5F" w:sz="1"/>
              <w:right w:val="single" w:color="1E3A5F" w:sz="1"/>
            </w:tcBorders>
            <w:shd w:fill="1E3A5F" w:val="clear"/>
            <w:tcMar>
              <w:top w:type="dxa" w:w="100"/>
              <w:left w:type="dxa" w:w="150"/>
              <w:bottom w:type="dxa" w:w="100"/>
              <w:right w:type="dxa" w:w="150"/>
            </w:tcMar>
          </w:tcPr>
          <w:p>
            <w:r>
              <w:rPr>
                <w:rFonts w:ascii="Arial" w:cs="Arial" w:eastAsia="Arial" w:hAnsi="Arial"/>
                <w:b/>
                <w:bCs/>
                <w:color w:val="FFFFFF"/>
                <w:sz w:val="22"/>
                <w:szCs w:val="22"/>
              </w:rPr>
              <w:t xml:space="preserve">Details</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Company Name</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Attivo Networks (acquired by SentinelOne in 2022)</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Founded</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2011, Fremont, California, USA</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Core Product</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ThreatDefend Deception and Response Platform (BOTsink)</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Relevant Domain</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IoT, ICS-SCADA, cloud, enterprise network deception honeypots</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Key Protocols Emulated</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XMPP, CoAP, MQTT, HL7, DICOM, SNMP, SMTP, SSH, Telnet, HTTP, Modbus, OPC-UA</w:t>
            </w:r>
          </w:p>
        </w:tc>
      </w:tr>
    </w:tbl>
    <w:p>
      <w:pPr>
        <w:spacing w:after="60" w:before="60"/>
      </w:pPr>
      <w:r>
        <w:t xml:space="preserve"/>
      </w:r>
    </w:p>
    <w:p>
      <w:pPr>
        <w:pStyle w:val="Heading2"/>
        <w:spacing w:after="120" w:before="280"/>
      </w:pPr>
      <w:r>
        <w:rPr>
          <w:rFonts w:ascii="Arial" w:cs="Arial" w:eastAsia="Arial" w:hAnsi="Arial"/>
          <w:b/>
          <w:bCs/>
          <w:color w:val="2E5FA3"/>
          <w:sz w:val="26"/>
          <w:szCs w:val="26"/>
        </w:rPr>
        <w:t xml:space="preserve">2.2  ThreatDefend Platform Architecture</w:t>
      </w:r>
    </w:p>
    <w:p>
      <w:pPr>
        <w:spacing w:after="80" w:before="80"/>
        <w:jc w:val="both"/>
      </w:pPr>
      <w:r>
        <w:rPr>
          <w:rFonts w:ascii="Arial" w:cs="Arial" w:eastAsia="Arial" w:hAnsi="Arial"/>
          <w:sz w:val="22"/>
          <w:szCs w:val="22"/>
        </w:rPr>
        <w:t xml:space="preserve">Attivo Networks developed the ThreatDefend Deception and Response Platform as a commercial-grade, high-interaction deception ecosystem. The platform is comprised of the following major subsystems:</w:t>
      </w:r>
    </w:p>
    <w:p>
      <w:pPr>
        <w:pStyle w:val="ListParagraph"/>
        <w:numPr>
          <w:ilvl w:val="0"/>
          <w:numId w:val="2"/>
        </w:numPr>
        <w:spacing w:after="60" w:before="60"/>
      </w:pPr>
      <w:r>
        <w:rPr>
          <w:rFonts w:ascii="Arial" w:cs="Arial" w:eastAsia="Arial" w:hAnsi="Arial"/>
          <w:sz w:val="22"/>
          <w:szCs w:val="22"/>
        </w:rPr>
        <w:t xml:space="preserve">BOTsink Engagement Servers — Physical or virtualized appliances that host decoy VMs impersonating IoT sensors, routers, SCADA controllers, POS terminals, and medical devices. These VMs run real operating systems (CentOS, Ubuntu, Windows) with real services enabled to maximize attacker engagement depth.</w:t>
      </w:r>
    </w:p>
    <w:p>
      <w:pPr>
        <w:pStyle w:val="ListParagraph"/>
        <w:numPr>
          <w:ilvl w:val="0"/>
          <w:numId w:val="2"/>
        </w:numPr>
        <w:spacing w:after="60" w:before="60"/>
      </w:pPr>
      <w:r>
        <w:rPr>
          <w:rFonts w:ascii="Arial" w:cs="Arial" w:eastAsia="Arial" w:hAnsi="Arial"/>
          <w:sz w:val="22"/>
          <w:szCs w:val="22"/>
        </w:rPr>
        <w:t xml:space="preserve">ThreatStrike Endpoint Deception Suite — Plants deceptive credentials, files, registry keys, and network shares on real endpoints so that an attacker who has already infiltrated the network is automatically led toward decoy assets.</w:t>
      </w:r>
    </w:p>
    <w:p>
      <w:pPr>
        <w:pStyle w:val="ListParagraph"/>
        <w:numPr>
          <w:ilvl w:val="0"/>
          <w:numId w:val="2"/>
        </w:numPr>
        <w:spacing w:after="60" w:before="60"/>
      </w:pPr>
      <w:r>
        <w:rPr>
          <w:rFonts w:ascii="Arial" w:cs="Arial" w:eastAsia="Arial" w:hAnsi="Arial"/>
          <w:sz w:val="22"/>
          <w:szCs w:val="22"/>
        </w:rPr>
        <w:t xml:space="preserve">ThreatPath Attack Surface Visibility Module — Continuously maps exposed attack paths within the network, revealing lateral movement routes an attacker could exploit, allowing proactive path closure.</w:t>
      </w:r>
    </w:p>
    <w:p>
      <w:pPr>
        <w:pStyle w:val="ListParagraph"/>
        <w:numPr>
          <w:ilvl w:val="0"/>
          <w:numId w:val="2"/>
        </w:numPr>
        <w:spacing w:after="60" w:before="60"/>
      </w:pPr>
      <w:r>
        <w:rPr>
          <w:rFonts w:ascii="Arial" w:cs="Arial" w:eastAsia="Arial" w:hAnsi="Arial"/>
          <w:sz w:val="22"/>
          <w:szCs w:val="22"/>
        </w:rPr>
        <w:t xml:space="preserve">ThreatOps Orchestration Playbooks — Automates incident response workflows by integrating with SIEMs, firewalls (Check Point, Cisco ASA, Palo Alto), NAC systems, and EDR platforms via REST API.</w:t>
      </w:r>
    </w:p>
    <w:p>
      <w:pPr>
        <w:pStyle w:val="ListParagraph"/>
        <w:numPr>
          <w:ilvl w:val="0"/>
          <w:numId w:val="2"/>
        </w:numPr>
        <w:spacing w:after="60" w:before="60"/>
      </w:pPr>
      <w:r>
        <w:rPr>
          <w:rFonts w:ascii="Arial" w:cs="Arial" w:eastAsia="Arial" w:hAnsi="Arial"/>
          <w:sz w:val="22"/>
          <w:szCs w:val="22"/>
        </w:rPr>
        <w:t xml:space="preserve">Multi-Correlation Detection Engine (MCDE) — Correlates events across decoys, endpoints, and network telemetry to eliminate false positives. Generates IOC (Indicators of Compromise), STIX, PCAP, and CSV forensic reports.</w:t>
      </w:r>
    </w:p>
    <w:p>
      <w:pPr>
        <w:spacing w:after="60" w:before="60"/>
      </w:pPr>
      <w:r>
        <w:t xml:space="preserve"/>
      </w:r>
    </w:p>
    <w:p>
      <w:pPr>
        <w:pStyle w:val="Heading2"/>
        <w:spacing w:after="120" w:before="280"/>
      </w:pPr>
      <w:r>
        <w:rPr>
          <w:rFonts w:ascii="Arial" w:cs="Arial" w:eastAsia="Arial" w:hAnsi="Arial"/>
          <w:b/>
          <w:bCs/>
          <w:color w:val="2E5FA3"/>
          <w:sz w:val="26"/>
          <w:szCs w:val="26"/>
        </w:rPr>
        <w:t xml:space="preserve">2.3  Security Measures Against IoT Attack Patterns</w:t>
      </w:r>
    </w:p>
    <w:p>
      <w:pPr>
        <w:spacing w:after="80" w:before="80"/>
        <w:jc w:val="both"/>
      </w:pPr>
      <w:r>
        <w:rPr>
          <w:rFonts w:ascii="Arial" w:cs="Arial" w:eastAsia="Arial" w:hAnsi="Arial"/>
          <w:sz w:val="22"/>
          <w:szCs w:val="22"/>
        </w:rPr>
        <w:t xml:space="preserve">Attivo Networks explicitly designed the ThreatDefend platform to address the 47 documented IoT attack pattern categories. The following table maps major IoT attack pattern clusters (based on OWASP IoT Top 10 and MITRE ATT&amp;CK for ICS/IoT) to the specific security measures Attivo implements: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800"/>
        <w:gridCol w:w="3030"/>
        <w:gridCol w:w="3030"/>
      </w:tblGrid>
      <w:tr>
        <w:tc>
          <w:tcPr>
            <w:tcW w:type="dxa" w:w="500"/>
            <w:tcBorders>
              <w:top w:val="single" w:color="1E3A5F" w:sz="1"/>
              <w:left w:val="single" w:color="1E3A5F" w:sz="1"/>
              <w:bottom w:val="single" w:color="1E3A5F" w:sz="1"/>
              <w:right w:val="single" w:color="1E3A5F" w:sz="1"/>
            </w:tcBorders>
            <w:shd w:fill="1E3A5F" w:val="clear"/>
            <w:tcMar>
              <w:top w:type="dxa" w:w="100"/>
              <w:left w:type="dxa" w:w="150"/>
              <w:bottom w:type="dxa" w:w="100"/>
              <w:right w:type="dxa" w:w="150"/>
            </w:tcMar>
          </w:tcPr>
          <w:p>
            <w:r>
              <w:rPr>
                <w:rFonts w:ascii="Arial" w:cs="Arial" w:eastAsia="Arial" w:hAnsi="Arial"/>
                <w:b/>
                <w:bCs/>
                <w:color w:val="FFFFFF"/>
                <w:sz w:val="22"/>
                <w:szCs w:val="22"/>
              </w:rPr>
              <w:t xml:space="preserve">#</w:t>
            </w:r>
          </w:p>
        </w:tc>
        <w:tc>
          <w:tcPr>
            <w:tcW w:type="dxa" w:w="2800"/>
            <w:tcBorders>
              <w:top w:val="single" w:color="1E3A5F" w:sz="1"/>
              <w:left w:val="single" w:color="1E3A5F" w:sz="1"/>
              <w:bottom w:val="single" w:color="1E3A5F" w:sz="1"/>
              <w:right w:val="single" w:color="1E3A5F" w:sz="1"/>
            </w:tcBorders>
            <w:shd w:fill="1E3A5F" w:val="clear"/>
            <w:tcMar>
              <w:top w:type="dxa" w:w="100"/>
              <w:left w:type="dxa" w:w="150"/>
              <w:bottom w:type="dxa" w:w="100"/>
              <w:right w:type="dxa" w:w="150"/>
            </w:tcMar>
          </w:tcPr>
          <w:p>
            <w:r>
              <w:rPr>
                <w:rFonts w:ascii="Arial" w:cs="Arial" w:eastAsia="Arial" w:hAnsi="Arial"/>
                <w:b/>
                <w:bCs/>
                <w:color w:val="FFFFFF"/>
                <w:sz w:val="22"/>
                <w:szCs w:val="22"/>
              </w:rPr>
              <w:t xml:space="preserve">Attack Pattern Category</w:t>
            </w:r>
          </w:p>
        </w:tc>
        <w:tc>
          <w:tcPr>
            <w:tcW w:type="dxa" w:w="3030"/>
            <w:tcBorders>
              <w:top w:val="single" w:color="1E3A5F" w:sz="1"/>
              <w:left w:val="single" w:color="1E3A5F" w:sz="1"/>
              <w:bottom w:val="single" w:color="1E3A5F" w:sz="1"/>
              <w:right w:val="single" w:color="1E3A5F" w:sz="1"/>
            </w:tcBorders>
            <w:shd w:fill="1E3A5F" w:val="clear"/>
            <w:tcMar>
              <w:top w:type="dxa" w:w="100"/>
              <w:left w:type="dxa" w:w="150"/>
              <w:bottom w:type="dxa" w:w="100"/>
              <w:right w:type="dxa" w:w="150"/>
            </w:tcMar>
          </w:tcPr>
          <w:p>
            <w:r>
              <w:rPr>
                <w:rFonts w:ascii="Arial" w:cs="Arial" w:eastAsia="Arial" w:hAnsi="Arial"/>
                <w:b/>
                <w:bCs/>
                <w:color w:val="FFFFFF"/>
                <w:sz w:val="22"/>
                <w:szCs w:val="22"/>
              </w:rPr>
              <w:t xml:space="preserve">Attack Behaviour</w:t>
            </w:r>
          </w:p>
        </w:tc>
        <w:tc>
          <w:tcPr>
            <w:tcW w:type="dxa" w:w="3030"/>
            <w:tcBorders>
              <w:top w:val="single" w:color="1E3A5F" w:sz="1"/>
              <w:left w:val="single" w:color="1E3A5F" w:sz="1"/>
              <w:bottom w:val="single" w:color="1E3A5F" w:sz="1"/>
              <w:right w:val="single" w:color="1E3A5F" w:sz="1"/>
            </w:tcBorders>
            <w:shd w:fill="1E3A5F" w:val="clear"/>
            <w:tcMar>
              <w:top w:type="dxa" w:w="100"/>
              <w:left w:type="dxa" w:w="150"/>
              <w:bottom w:type="dxa" w:w="100"/>
              <w:right w:type="dxa" w:w="150"/>
            </w:tcMar>
          </w:tcPr>
          <w:p>
            <w:r>
              <w:rPr>
                <w:rFonts w:ascii="Arial" w:cs="Arial" w:eastAsia="Arial" w:hAnsi="Arial"/>
                <w:b/>
                <w:bCs/>
                <w:color w:val="FFFFFF"/>
                <w:sz w:val="22"/>
                <w:szCs w:val="22"/>
              </w:rPr>
              <w:t xml:space="preserve">Attivo Security Measure</w:t>
            </w:r>
          </w:p>
        </w:tc>
      </w:tr>
      <w:tr>
        <w:tc>
          <w:tcPr>
            <w:tcW w:type="dxa" w:w="234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1</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Network Scanning / Reconnaissance (T1595)</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Attacker uses Shodan, Nmap, Masscan to enumerate open ports</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BOTsink presents live decoy IPs with open ports; any scan interaction triggers high-confidence alert</w:t>
            </w:r>
          </w:p>
        </w:tc>
      </w:tr>
      <w:tr>
        <w:tc>
          <w:tcPr>
            <w:tcW w:type="dxa" w:w="234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2</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Telnet / SSH Brute Force (T1110)</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Mirai, Mozi botnet credential stuffing via Telnet/SSH</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Decoy Telnet/SSH services accept credentials and engage attacker; credentials are captured and reported</w:t>
            </w:r>
          </w:p>
        </w:tc>
      </w:tr>
      <w:tr>
        <w:tc>
          <w:tcPr>
            <w:tcW w:type="dxa" w:w="234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3</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Default Credential Exploitation</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Attackers try factory-default username/password combinations</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ThreatStrike plants false credentials on endpoints; attacker use of planted credentials triggers alert</w:t>
            </w:r>
          </w:p>
        </w:tc>
      </w:tr>
      <w:tr>
        <w:tc>
          <w:tcPr>
            <w:tcW w:type="dxa" w:w="234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4</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MQTT Protocol Exploitation</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Unauthorized subscribe/publish to MQTT broker topics</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BOTsink emulates MQTT broker; any topic subscription is logged with full payload capture</w:t>
            </w:r>
          </w:p>
        </w:tc>
      </w:tr>
      <w:tr>
        <w:tc>
          <w:tcPr>
            <w:tcW w:type="dxa" w:w="234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5</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CoAP / XMPP Protocol Abuse</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Replay attacks, resource enumeration on IoT-specific protocols</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Decoy CoAP/XMPP endpoints accept connections and record full request sequences</w:t>
            </w:r>
          </w:p>
        </w:tc>
      </w:tr>
      <w:tr>
        <w:tc>
          <w:tcPr>
            <w:tcW w:type="dxa" w:w="234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6</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UPnP/SSDP Amplification Attacks</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Exploit UPnP for DDoS amplification or internal discovery</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Decoy UPnP service responds with fake device descriptions; no amplification possible from isolated decoy</w:t>
            </w:r>
          </w:p>
        </w:tc>
      </w:tr>
      <w:tr>
        <w:tc>
          <w:tcPr>
            <w:tcW w:type="dxa" w:w="234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7</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Firmware Over-The-Air (OTA) Hijacking</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Intercept or poison firmware update channels</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Decoy update server lures firmware-request packets and logs source IP / attack tool fingerprint</w:t>
            </w:r>
          </w:p>
        </w:tc>
      </w:tr>
      <w:tr>
        <w:tc>
          <w:tcPr>
            <w:tcW w:type="dxa" w:w="234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8</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Lateral Movement (T1021)</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Pivot from compromised IoT device to internal servers</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BOTsink sinkhole prevents pivot; all traffic from decoy is captured without forwarding to real assets</w:t>
            </w:r>
          </w:p>
        </w:tc>
      </w:tr>
      <w:tr>
        <w:tc>
          <w:tcPr>
            <w:tcW w:type="dxa" w:w="234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9</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Command-and-Control Beaconing (T1071)</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Malware on IoT device phones home to C2 server</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Decoy OS allows malware execution; C2 communication is intercepted and C2 domain/IP extracted</w:t>
            </w:r>
          </w:p>
        </w:tc>
      </w:tr>
      <w:tr>
        <w:tc>
          <w:tcPr>
            <w:tcW w:type="dxa" w:w="234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10</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Ransomware / File Encryption</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Encrypt files on IoT storage or connected NAS</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Decoy file shares with honeytoken documents; access to any honeytoken triggers immediate SOC alert</w:t>
            </w:r>
          </w:p>
        </w:tc>
      </w:tr>
      <w:tr>
        <w:tc>
          <w:tcPr>
            <w:tcW w:type="dxa" w:w="234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11</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Credential Harvesting (T1552)</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Extract stored passwords, API keys, certificates from IoT firmware</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ThreatStrike seeds fake API keys and tokens; their use anywhere in the network is detected</w:t>
            </w:r>
          </w:p>
        </w:tc>
      </w:tr>
      <w:tr>
        <w:tc>
          <w:tcPr>
            <w:tcW w:type="dxa" w:w="234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12</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Man-in-the-Middle (MITM) on IoT Traffic</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ARP spoofing or DNS poisoning to intercept device traffic</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Decoy network traffic generation (fake background IoT chatter) makes MITM attacks detectable by anomaly</w:t>
            </w:r>
          </w:p>
        </w:tc>
      </w:tr>
      <w:tr>
        <w:tc>
          <w:tcPr>
            <w:tcW w:type="dxa" w:w="234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13</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Physical Access / JTAG Debugging Exploits</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Attacker gains physical access to dump firmware or inject code</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Out of scope for ThreatDefend; hardware security is complementary (TPM, Secure Boot)</w:t>
            </w:r>
          </w:p>
        </w:tc>
      </w:tr>
      <w:tr>
        <w:tc>
          <w:tcPr>
            <w:tcW w:type="dxa" w:w="234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14</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DDoS via IoT Botnet Participation</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Compromised device participates in volumetric DDoS</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Decoy device simulates botnet infection; C2 commands are captured without real traffic generation</w:t>
            </w:r>
          </w:p>
        </w:tc>
      </w:tr>
      <w:tr>
        <w:tc>
          <w:tcPr>
            <w:tcW w:type="dxa" w:w="234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15-47</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Remaining Attack Patterns (SCADA, HL7, DICOM, supply chain, insider threat, etc.)</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Varied protocol-specific and insider threat attack scenarios</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MCDE correlation engine classifies TTP across all decoy types; IOC/STIX output feeds SIEM for all 47 pattern classes</w:t>
            </w:r>
          </w:p>
        </w:tc>
      </w:tr>
    </w:tbl>
    <w:p>
      <w:pPr>
        <w:spacing w:after="60" w:before="60"/>
      </w:pPr>
      <w:r>
        <w:t xml:space="preserve"/>
      </w:r>
    </w:p>
    <w:p>
      <w:pPr>
        <w:pStyle w:val="Heading2"/>
        <w:spacing w:after="120" w:before="280"/>
      </w:pPr>
      <w:r>
        <w:rPr>
          <w:rFonts w:ascii="Arial" w:cs="Arial" w:eastAsia="Arial" w:hAnsi="Arial"/>
          <w:b/>
          <w:bCs/>
          <w:color w:val="2E5FA3"/>
          <w:sz w:val="26"/>
          <w:szCs w:val="26"/>
        </w:rPr>
        <w:t xml:space="preserve">2.4  Key Security Guarantees Provided by Attivo ThreatDefend</w:t>
      </w:r>
    </w:p>
    <w:p>
      <w:pPr>
        <w:pStyle w:val="ListParagraph"/>
        <w:numPr>
          <w:ilvl w:val="0"/>
          <w:numId w:val="2"/>
        </w:numPr>
        <w:spacing w:after="60" w:before="60"/>
      </w:pPr>
      <w:r>
        <w:rPr>
          <w:rFonts w:ascii="Arial" w:cs="Arial" w:eastAsia="Arial" w:hAnsi="Arial"/>
          <w:sz w:val="22"/>
          <w:szCs w:val="22"/>
        </w:rPr>
        <w:t xml:space="preserve">Zero False-Positive Model: Any interaction with a decoy asset is, by definition, malicious. No legitimate user or device should ever contact a honeypot. This architectural property eliminates the false-positive problem that plagues signature-based IDS systems.</w:t>
      </w:r>
    </w:p>
    <w:p>
      <w:pPr>
        <w:pStyle w:val="ListParagraph"/>
        <w:numPr>
          <w:ilvl w:val="0"/>
          <w:numId w:val="2"/>
        </w:numPr>
        <w:spacing w:after="60" w:before="60"/>
      </w:pPr>
      <w:r>
        <w:rPr>
          <w:rFonts w:ascii="Arial" w:cs="Arial" w:eastAsia="Arial" w:hAnsi="Arial"/>
          <w:sz w:val="22"/>
          <w:szCs w:val="22"/>
        </w:rPr>
        <w:t xml:space="preserve">Full TTP Recording: The BOTsink records complete session transcripts, command histories, file transfers, credential inputs, and network captures (PCAP) for every attacker interaction, enabling comprehensive forensic reconstruction.</w:t>
      </w:r>
    </w:p>
    <w:p>
      <w:pPr>
        <w:pStyle w:val="ListParagraph"/>
        <w:numPr>
          <w:ilvl w:val="0"/>
          <w:numId w:val="2"/>
        </w:numPr>
        <w:spacing w:after="60" w:before="60"/>
      </w:pPr>
      <w:r>
        <w:rPr>
          <w:rFonts w:ascii="Arial" w:cs="Arial" w:eastAsia="Arial" w:hAnsi="Arial"/>
          <w:sz w:val="22"/>
          <w:szCs w:val="22"/>
        </w:rPr>
        <w:t xml:space="preserve">Attacker Dwell Time Reduction: According to Fidelis Security (Attivo partner documentation), deception technology reduces attacker dwell time from a typical average of several months to a matter of hours, because the attacker is quickly identified upon first deception interaction.</w:t>
      </w:r>
    </w:p>
    <w:p>
      <w:pPr>
        <w:pStyle w:val="ListParagraph"/>
        <w:numPr>
          <w:ilvl w:val="0"/>
          <w:numId w:val="2"/>
        </w:numPr>
        <w:spacing w:after="60" w:before="60"/>
      </w:pPr>
      <w:r>
        <w:rPr>
          <w:rFonts w:ascii="Arial" w:cs="Arial" w:eastAsia="Arial" w:hAnsi="Arial"/>
          <w:sz w:val="22"/>
          <w:szCs w:val="22"/>
        </w:rPr>
        <w:t xml:space="preserve">MITRE ATT&amp;CK Alignment: All detections are automatically tagged to the corresponding MITRE ATT&amp;CK Technique IDs (e.g., T1110 for brute force, T1021 for lateral movement), enabling structured threat reporting.</w:t>
      </w:r>
    </w:p>
    <w:p>
      <w:pPr>
        <w:pStyle w:val="ListParagraph"/>
        <w:numPr>
          <w:ilvl w:val="0"/>
          <w:numId w:val="2"/>
        </w:numPr>
        <w:spacing w:after="60" w:before="60"/>
      </w:pPr>
      <w:r>
        <w:rPr>
          <w:rFonts w:ascii="Arial" w:cs="Arial" w:eastAsia="Arial" w:hAnsi="Arial"/>
          <w:sz w:val="22"/>
          <w:szCs w:val="22"/>
        </w:rPr>
        <w:t xml:space="preserve">Protocol Fidelity: For IoT environments specifically, BOTsink emulates MQTT, CoAP, XMPP, HL7, and DICOM at the application layer, ensuring that IoT-specific attack tools encounter a convincing target rather than a generic open port.</w:t>
      </w:r>
    </w:p>
    <w:p>
      <w:pPr>
        <w:spacing w:after="60" w:before="60"/>
      </w:pPr>
      <w:r>
        <w:t xml:space="preserve"/>
      </w:r>
    </w:p>
    <w:p>
      <w:r>
        <w:br w:type="page"/>
      </w:r>
    </w:p>
    <w:p>
      <w:pPr>
        <w:pStyle w:val="Heading1"/>
        <w:pBdr>
          <w:bottom w:val="single" w:color="1E3A5F" w:sz="6" w:space="4"/>
        </w:pBdr>
        <w:spacing w:after="180" w:before="360"/>
      </w:pPr>
      <w:r>
        <w:rPr>
          <w:rFonts w:ascii="Arial" w:cs="Arial" w:eastAsia="Arial" w:hAnsi="Arial"/>
          <w:b/>
          <w:bCs/>
          <w:color w:val="1E3A5F"/>
          <w:sz w:val="32"/>
          <w:szCs w:val="32"/>
        </w:rPr>
        <w:t xml:space="preserve">SECTION 3: Proposed Improvement — ESP32 Adaptive IoT Honeypot</w:t>
      </w:r>
    </w:p>
    <w:p>
      <w:pPr>
        <w:pStyle w:val="Heading2"/>
        <w:spacing w:after="120" w:before="280"/>
      </w:pPr>
      <w:r>
        <w:rPr>
          <w:rFonts w:ascii="Arial" w:cs="Arial" w:eastAsia="Arial" w:hAnsi="Arial"/>
          <w:b/>
          <w:bCs/>
          <w:color w:val="2E5FA3"/>
          <w:sz w:val="26"/>
          <w:szCs w:val="26"/>
        </w:rPr>
        <w:t xml:space="preserve">3.1  Gap Analysis of Existing Work</w:t>
      </w:r>
    </w:p>
    <w:p>
      <w:pPr>
        <w:spacing w:after="80" w:before="80"/>
        <w:jc w:val="both"/>
      </w:pPr>
      <w:r>
        <w:rPr>
          <w:rFonts w:ascii="Arial" w:cs="Arial" w:eastAsia="Arial" w:hAnsi="Arial"/>
          <w:sz w:val="22"/>
          <w:szCs w:val="22"/>
        </w:rPr>
        <w:t xml:space="preserve">Current IoT honeypot implementations suffer from two fundamental and well-documented limitations when deployed on resource-constrained embedded hardware:</w:t>
      </w:r>
    </w:p>
    <w:p>
      <w:pPr>
        <w:spacing w:after="60" w:before="60"/>
      </w:pPr>
      <w:r>
        <w:t xml:space="preserve"/>
      </w:r>
    </w:p>
    <w:p>
      <w:pPr>
        <w:pStyle w:val="Heading3"/>
        <w:spacing w:after="100" w:before="200"/>
      </w:pPr>
      <w:r>
        <w:rPr>
          <w:rFonts w:ascii="Arial" w:cs="Arial" w:eastAsia="Arial" w:hAnsi="Arial"/>
          <w:b/>
          <w:bCs/>
          <w:color w:val="3A7CA5"/>
          <w:sz w:val="24"/>
          <w:szCs w:val="24"/>
        </w:rPr>
        <w:t xml:space="preserve">Limitation 1: Static Response Profiles</w:t>
      </w:r>
    </w:p>
    <w:p>
      <w:pPr>
        <w:spacing w:after="80" w:before="80"/>
        <w:jc w:val="both"/>
      </w:pPr>
      <w:r>
        <w:rPr>
          <w:rFonts w:ascii="Arial" w:cs="Arial" w:eastAsia="Arial" w:hAnsi="Arial"/>
          <w:sz w:val="22"/>
          <w:szCs w:val="22"/>
        </w:rPr>
        <w:t xml:space="preserve">Existing lightweight IoT honeypots (e.g., HoneyPy, IoTPOT, Dionaea deployed on Raspberry Pi or similar SBCs) respond to attacker probes using fixed, pre-configured response templates stored in configuration files. While this approach functions adequately for low-intelligence automated scanners (such as Mirai-variant bots that simply check for open Telnet on port 23), it fails against modern attack reconnaissance tools such as ZMap with application-layer plugins, Shodan crawlers, and custom exploit frameworks that perform multi-round protocol fingerprinting. These tools detect honeypots by looking for response inconsistencies across multiple interactions — for example, a Telnet banner that matches a NETGEAR device but an HTTP server header that does not, or a MQTT broker that responds to CONNECT but fails PINGREQ.</w:t>
      </w:r>
    </w:p>
    <w:p>
      <w:pPr>
        <w:spacing w:after="60" w:before="60"/>
      </w:pPr>
      <w:r>
        <w:t xml:space="preserve"/>
      </w:r>
    </w:p>
    <w:p>
      <w:pPr>
        <w:pStyle w:val="Heading3"/>
        <w:spacing w:after="100" w:before="200"/>
      </w:pPr>
      <w:r>
        <w:rPr>
          <w:rFonts w:ascii="Arial" w:cs="Arial" w:eastAsia="Arial" w:hAnsi="Arial"/>
          <w:b/>
          <w:bCs/>
          <w:color w:val="3A7CA5"/>
          <w:sz w:val="24"/>
          <w:szCs w:val="24"/>
        </w:rPr>
        <w:t xml:space="preserve">Limitation 2: Cloud Dependency / No On-Device Intelligence</w:t>
      </w:r>
    </w:p>
    <w:p>
      <w:pPr>
        <w:spacing w:after="80" w:before="80"/>
        <w:jc w:val="both"/>
      </w:pPr>
      <w:r>
        <w:rPr>
          <w:rFonts w:ascii="Arial" w:cs="Arial" w:eastAsia="Arial" w:hAnsi="Arial"/>
          <w:sz w:val="22"/>
          <w:szCs w:val="22"/>
        </w:rPr>
        <w:t xml:space="preserve">High-interaction commercial platforms such as Attivo Networks' ThreatDefend operate on server-class hardware with multiple GB of RAM and full virtual machines. They provide excellent fidelity but require constant cloud connectivity and significant infrastructure investment. Projects attempting to bring honeypot capability to actual microcontroller-class hardware (ESP8266, Arduino) have been limited to simple port listeners with no adaptive or learning behavior. The ESP32 occupies a middle ground — it has dual-core Xtensa processors at 240 MHz, 520 KB SRAM, and 4 MB flash with optional PSRAM extension — but no existing honeypot framework has been designed to exploit these capabilities specifically.</w:t>
      </w:r>
    </w:p>
    <w:p>
      <w:pPr>
        <w:spacing w:after="60" w:before="60"/>
      </w:pPr>
      <w:r>
        <w:t xml:space="preserve"/>
      </w:r>
    </w:p>
    <w:p>
      <w:pPr>
        <w:pStyle w:val="Heading2"/>
        <w:spacing w:after="120" w:before="280"/>
      </w:pPr>
      <w:r>
        <w:rPr>
          <w:rFonts w:ascii="Arial" w:cs="Arial" w:eastAsia="Arial" w:hAnsi="Arial"/>
          <w:b/>
          <w:bCs/>
          <w:color w:val="2E5FA3"/>
          <w:sz w:val="26"/>
          <w:szCs w:val="26"/>
        </w:rPr>
        <w:t xml:space="preserve">3.2  Proposed Improvement: ESP32 Stateful Adaptive Honeypot (ESP32-SAH)</w:t>
      </w:r>
    </w:p>
    <w:p>
      <w:pPr>
        <w:spacing w:after="80" w:before="80"/>
        <w:jc w:val="both"/>
      </w:pPr>
      <w:r>
        <w:rPr>
          <w:rFonts w:ascii="Arial" w:cs="Arial" w:eastAsia="Arial" w:hAnsi="Arial"/>
          <w:sz w:val="22"/>
          <w:szCs w:val="22"/>
        </w:rPr>
        <w:t xml:space="preserve">We propose the design and implementation of the ESP32 Stateful Adaptive Honeypot (ESP32-SAH), a novel firmware architecture that introduces on-device, stateful, and adaptively-responding honeypot capability specifically optimized for the ESP32 microcontroller. This constitutes a meaningful contribution over the existing state of the art in three specific technical dimensions:</w:t>
      </w:r>
    </w:p>
    <w:p>
      <w:pPr>
        <w:spacing w:after="60" w:before="60"/>
      </w:pPr>
      <w:r>
        <w:t xml:space="preserve"/>
      </w:r>
    </w:p>
    <w:p>
      <w:pPr>
        <w:pStyle w:val="Heading3"/>
        <w:spacing w:after="100" w:before="200"/>
      </w:pPr>
      <w:r>
        <w:rPr>
          <w:rFonts w:ascii="Arial" w:cs="Arial" w:eastAsia="Arial" w:hAnsi="Arial"/>
          <w:b/>
          <w:bCs/>
          <w:color w:val="3A7CA5"/>
          <w:sz w:val="24"/>
          <w:szCs w:val="24"/>
        </w:rPr>
        <w:t xml:space="preserve">3.2.1  Improvement 1: Finite-State Machine (FSM) Based Protocol Engine</w:t>
      </w:r>
    </w:p>
    <w:p>
      <w:pPr>
        <w:spacing w:after="80" w:before="80"/>
        <w:jc w:val="both"/>
      </w:pPr>
      <w:r>
        <w:rPr>
          <w:rFonts w:ascii="Arial" w:cs="Arial" w:eastAsia="Arial" w:hAnsi="Arial"/>
          <w:sz w:val="22"/>
          <w:szCs w:val="22"/>
        </w:rPr>
        <w:t xml:space="preserve">Rather than responding to each attacker packet in isolation with a fixed string, ESP32-SAH implements a Finite-State Machine (FSM) for each emulated protocol running concurrently under FreeRTOS. The FSM is stored compactly in the ESP32's flash memory using a compressed state-transition table. This enables the honeypot to maintain session context across multiple rounds of attacker interaction.</w:t>
      </w:r>
    </w:p>
    <w:p>
      <w:pPr>
        <w:spacing w:after="60" w:before="60"/>
      </w:pPr>
      <w:r>
        <w:t xml:space="preserve"/>
      </w:r>
    </w:p>
    <w:p>
      <w:pPr>
        <w:spacing w:after="80" w:before="80"/>
        <w:jc w:val="both"/>
      </w:pPr>
      <w:r>
        <w:rPr>
          <w:rFonts w:ascii="Arial" w:cs="Arial" w:eastAsia="Arial" w:hAnsi="Arial"/>
          <w:sz w:val="22"/>
          <w:szCs w:val="22"/>
        </w:rPr>
        <w:t xml:space="preserve">For example, for the Telnet protocol:</w:t>
      </w:r>
    </w:p>
    <w:p>
      <w:pPr>
        <w:pStyle w:val="ListParagraph"/>
        <w:numPr>
          <w:ilvl w:val="0"/>
          <w:numId w:val="2"/>
        </w:numPr>
        <w:spacing w:after="60" w:before="60"/>
      </w:pPr>
      <w:r>
        <w:rPr>
          <w:rFonts w:ascii="Arial" w:cs="Arial" w:eastAsia="Arial" w:hAnsi="Arial"/>
          <w:sz w:val="22"/>
          <w:szCs w:val="22"/>
        </w:rPr>
        <w:t xml:space="preserve">State 0 (INIT): Send the banner string matching a target device (e.g., "BusyBox v1.23.2 (Ubuntu 1:1.23.2-2ubuntu1) built-in shell"). Transition to State 1 upon receiving any client data.</w:t>
      </w:r>
    </w:p>
    <w:p>
      <w:pPr>
        <w:pStyle w:val="ListParagraph"/>
        <w:numPr>
          <w:ilvl w:val="0"/>
          <w:numId w:val="2"/>
        </w:numPr>
        <w:spacing w:after="60" w:before="60"/>
      </w:pPr>
      <w:r>
        <w:rPr>
          <w:rFonts w:ascii="Arial" w:cs="Arial" w:eastAsia="Arial" w:hAnsi="Arial"/>
          <w:sz w:val="22"/>
          <w:szCs w:val="22"/>
        </w:rPr>
        <w:t xml:space="preserve">State 1 (AWAIT_LOGIN): Send "login:" prompt. Transition to State 2 upon receiving a username string.</w:t>
      </w:r>
    </w:p>
    <w:p>
      <w:pPr>
        <w:pStyle w:val="ListParagraph"/>
        <w:numPr>
          <w:ilvl w:val="0"/>
          <w:numId w:val="2"/>
        </w:numPr>
        <w:spacing w:after="60" w:before="60"/>
      </w:pPr>
      <w:r>
        <w:rPr>
          <w:rFonts w:ascii="Arial" w:cs="Arial" w:eastAsia="Arial" w:hAnsi="Arial"/>
          <w:sz w:val="22"/>
          <w:szCs w:val="22"/>
        </w:rPr>
        <w:t xml:space="preserve">State 2 (AWAIT_PASSWORD): Send "Password:" prompt. Capture and log credential attempt. Transition to State 3.</w:t>
      </w:r>
    </w:p>
    <w:p>
      <w:pPr>
        <w:pStyle w:val="ListParagraph"/>
        <w:numPr>
          <w:ilvl w:val="0"/>
          <w:numId w:val="2"/>
        </w:numPr>
        <w:spacing w:after="60" w:before="60"/>
      </w:pPr>
      <w:r>
        <w:rPr>
          <w:rFonts w:ascii="Arial" w:cs="Arial" w:eastAsia="Arial" w:hAnsi="Arial"/>
          <w:sz w:val="22"/>
          <w:szCs w:val="22"/>
        </w:rPr>
        <w:t xml:space="preserve">State 3 (SHELL_EMULATION): Return simulated shell output for a predefined set of expected attacker commands (uname -a, cat /proc/cpuinfo, wget, curl, tftp, chmod). Log all commands. For unrecognized commands, return a plausible "command not found" error.</w:t>
      </w:r>
    </w:p>
    <w:p>
      <w:pPr>
        <w:spacing w:after="60" w:before="60"/>
      </w:pPr>
      <w:r>
        <w:t xml:space="preserve"/>
      </w:r>
    </w:p>
    <w:p>
      <w:pPr>
        <w:spacing w:after="80" w:before="80"/>
        <w:jc w:val="both"/>
      </w:pPr>
      <w:r>
        <w:rPr>
          <w:rFonts w:ascii="Arial" w:cs="Arial" w:eastAsia="Arial" w:hAnsi="Arial"/>
          <w:sz w:val="22"/>
          <w:szCs w:val="22"/>
        </w:rPr>
        <w:t xml:space="preserve">This multi-turn interaction capability is the critical differentiator: existing ESP8266-based honeypots terminate at State 1. Our FSM approach means that an attacker performing a Mirai-style credential stuffing scan will successfully "log in" and attempt to deploy a bot payload, which our honeypot captures as high-fidelity attack intelligence.</w:t>
      </w:r>
    </w:p>
    <w:p>
      <w:pPr>
        <w:spacing w:after="60" w:before="60"/>
      </w:pPr>
      <w:r>
        <w:t xml:space="preserve"/>
      </w:r>
    </w:p>
    <w:p>
      <w:pPr>
        <w:spacing w:after="80" w:before="80"/>
        <w:jc w:val="both"/>
      </w:pPr>
      <w:r>
        <w:rPr>
          <w:rFonts w:ascii="Arial" w:cs="Arial" w:eastAsia="Arial" w:hAnsi="Arial"/>
          <w:sz w:val="22"/>
          <w:szCs w:val="22"/>
        </w:rPr>
        <w:t xml:space="preserve">Simultaneously, we emulate HTTP (serving fake router admin panels), MQTT (accepting broker connections and logging subscribe/publish messages), and a minimal CoAP endpoint. These run as separate FreeRTOS tasks on Core 1, while Core 0 handles Wi-Fi stack maintenance, logging to SPIFFS/SD card, and optional alert transmission over MQTT to a central SOC server.</w:t>
      </w:r>
    </w:p>
    <w:p>
      <w:pPr>
        <w:spacing w:after="60" w:before="60"/>
      </w:pPr>
      <w:r>
        <w:t xml:space="preserve"/>
      </w:r>
    </w:p>
    <w:p>
      <w:pPr>
        <w:pStyle w:val="Heading3"/>
        <w:spacing w:after="100" w:before="200"/>
      </w:pPr>
      <w:r>
        <w:rPr>
          <w:rFonts w:ascii="Arial" w:cs="Arial" w:eastAsia="Arial" w:hAnsi="Arial"/>
          <w:b/>
          <w:bCs/>
          <w:color w:val="3A7CA5"/>
          <w:sz w:val="24"/>
          <w:szCs w:val="24"/>
        </w:rPr>
        <w:t xml:space="preserve">3.2.2  Improvement 2: On-Device Attacker Profiling with Lightweight Behaviour Classification</w:t>
      </w:r>
    </w:p>
    <w:p>
      <w:pPr>
        <w:spacing w:after="80" w:before="80"/>
        <w:jc w:val="both"/>
      </w:pPr>
      <w:r>
        <w:rPr>
          <w:rFonts w:ascii="Arial" w:cs="Arial" w:eastAsia="Arial" w:hAnsi="Arial"/>
          <w:sz w:val="22"/>
          <w:szCs w:val="22"/>
        </w:rPr>
        <w:t xml:space="preserve">Existing microcontroller-based honeypots log raw packets but perform no on-device analysis. All intelligence extraction requires transferring logs to an external host. ESP32-SAH introduces a lightweight on-device behavioural classifier running as a FreeRTOS task that performs the following in real 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1E3A5F" w:sz="1"/>
              <w:left w:val="single" w:color="1E3A5F" w:sz="1"/>
              <w:bottom w:val="single" w:color="1E3A5F" w:sz="1"/>
              <w:right w:val="single" w:color="1E3A5F" w:sz="1"/>
            </w:tcBorders>
            <w:shd w:fill="1E3A5F" w:val="clear"/>
            <w:tcMar>
              <w:top w:type="dxa" w:w="100"/>
              <w:left w:type="dxa" w:w="150"/>
              <w:bottom w:type="dxa" w:w="100"/>
              <w:right w:type="dxa" w:w="150"/>
            </w:tcMar>
          </w:tcPr>
          <w:p>
            <w:r>
              <w:rPr>
                <w:rFonts w:ascii="Arial" w:cs="Arial" w:eastAsia="Arial" w:hAnsi="Arial"/>
                <w:b/>
                <w:bCs/>
                <w:color w:val="FFFFFF"/>
                <w:sz w:val="22"/>
                <w:szCs w:val="22"/>
              </w:rPr>
              <w:t xml:space="preserve">Feature Extracted</w:t>
            </w:r>
          </w:p>
        </w:tc>
        <w:tc>
          <w:tcPr>
            <w:tcW w:type="dxa" w:w="3580"/>
            <w:tcBorders>
              <w:top w:val="single" w:color="1E3A5F" w:sz="1"/>
              <w:left w:val="single" w:color="1E3A5F" w:sz="1"/>
              <w:bottom w:val="single" w:color="1E3A5F" w:sz="1"/>
              <w:right w:val="single" w:color="1E3A5F" w:sz="1"/>
            </w:tcBorders>
            <w:shd w:fill="1E3A5F" w:val="clear"/>
            <w:tcMar>
              <w:top w:type="dxa" w:w="100"/>
              <w:left w:type="dxa" w:w="150"/>
              <w:bottom w:type="dxa" w:w="100"/>
              <w:right w:type="dxa" w:w="150"/>
            </w:tcMar>
          </w:tcPr>
          <w:p>
            <w:r>
              <w:rPr>
                <w:rFonts w:ascii="Arial" w:cs="Arial" w:eastAsia="Arial" w:hAnsi="Arial"/>
                <w:b/>
                <w:bCs/>
                <w:color w:val="FFFFFF"/>
                <w:sz w:val="22"/>
                <w:szCs w:val="22"/>
              </w:rPr>
              <w:t xml:space="preserve">Method</w:t>
            </w:r>
          </w:p>
        </w:tc>
        <w:tc>
          <w:tcPr>
            <w:tcW w:type="dxa" w:w="3580"/>
            <w:tcBorders>
              <w:top w:val="single" w:color="1E3A5F" w:sz="1"/>
              <w:left w:val="single" w:color="1E3A5F" w:sz="1"/>
              <w:bottom w:val="single" w:color="1E3A5F" w:sz="1"/>
              <w:right w:val="single" w:color="1E3A5F" w:sz="1"/>
            </w:tcBorders>
            <w:shd w:fill="1E3A5F" w:val="clear"/>
            <w:tcMar>
              <w:top w:type="dxa" w:w="100"/>
              <w:left w:type="dxa" w:w="150"/>
              <w:bottom w:type="dxa" w:w="100"/>
              <w:right w:type="dxa" w:w="150"/>
            </w:tcMar>
          </w:tcPr>
          <w:p>
            <w:r>
              <w:rPr>
                <w:rFonts w:ascii="Arial" w:cs="Arial" w:eastAsia="Arial" w:hAnsi="Arial"/>
                <w:b/>
                <w:bCs/>
                <w:color w:val="FFFFFF"/>
                <w:sz w:val="22"/>
                <w:szCs w:val="22"/>
              </w:rPr>
              <w:t xml:space="preserve">Classification Output</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Inter-packet arrival time</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Hardware timer delta measurement (ESP32 RMT / GPTimer)</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Distinguishes automated scanners (periodic, sub-ms) from human operators (irregular)</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Port scan pattern</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Circular buffer of last 16 connection attempts per source IP</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Identifies vertical scan (one host, many ports) vs horizontal scan (many hosts, one port)</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Credential dictionary type</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Pre-loaded hash table of known Mirai/Mozi/Satori default credential lists</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Tags credential attempt as 'known botnet wordlist match' or 'novel credential'</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Command sequence entropy</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Shannon entropy of shell command byte sequence</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Distinguishes scripted exploit payloads (low entropy, repetitive) from interactive sessions (high entropy)</w:t>
            </w:r>
          </w:p>
        </w:tc>
      </w:tr>
    </w:tbl>
    <w:p>
      <w:pPr>
        <w:spacing w:after="60" w:before="60"/>
      </w:pPr>
      <w:r>
        <w:t xml:space="preserve"/>
      </w:r>
    </w:p>
    <w:p>
      <w:pPr>
        <w:spacing w:after="80" w:before="80"/>
        <w:jc w:val="both"/>
      </w:pPr>
      <w:r>
        <w:rPr>
          <w:rFonts w:ascii="Arial" w:cs="Arial" w:eastAsia="Arial" w:hAnsi="Arial"/>
          <w:sz w:val="22"/>
          <w:szCs w:val="22"/>
        </w:rPr>
        <w:t xml:space="preserve">The classifier outputs one of four attacker profile tags per session: AUTOMATED_SCANNER, BOTNET_PROPAGATION, MANUAL_ATTACKER, or UNKNOWN. This tag is written to the SPIFFS log alongside the full session transcript, enabling immediate triage without requiring an external server. This represents a fundamentally new capability for microcontroller-class honeypots.</w:t>
      </w:r>
    </w:p>
    <w:p>
      <w:pPr>
        <w:spacing w:after="60" w:before="60"/>
      </w:pPr>
      <w:r>
        <w:t xml:space="preserve"/>
      </w:r>
    </w:p>
    <w:p>
      <w:pPr>
        <w:pStyle w:val="Heading3"/>
        <w:spacing w:after="100" w:before="200"/>
      </w:pPr>
      <w:r>
        <w:rPr>
          <w:rFonts w:ascii="Arial" w:cs="Arial" w:eastAsia="Arial" w:hAnsi="Arial"/>
          <w:b/>
          <w:bCs/>
          <w:color w:val="3A7CA5"/>
          <w:sz w:val="24"/>
          <w:szCs w:val="24"/>
        </w:rPr>
        <w:t xml:space="preserve">3.2.3  Improvement 3: Dynamic Banner Rotation via Flash-Stored Device Persona Library</w:t>
      </w:r>
    </w:p>
    <w:p>
      <w:pPr>
        <w:spacing w:after="80" w:before="80"/>
        <w:jc w:val="both"/>
      </w:pPr>
      <w:r>
        <w:rPr>
          <w:rFonts w:ascii="Arial" w:cs="Arial" w:eastAsia="Arial" w:hAnsi="Arial"/>
          <w:sz w:val="22"/>
          <w:szCs w:val="22"/>
        </w:rPr>
        <w:t xml:space="preserve">A key honeypot-detection technique used by advanced attackers is cross-referencing the responding device's banner strings against known honeypot signatures. Cowrie honeypot, for example, is detectable by its default SSH server string "SSH-2.0-OpenSSH_6.0p1 Debian-4+deb7u2" which appears in public honeypot fingerprint databases. Static ESP8266 honeypots are even easier to fingerprint because they always present the same banner.</w:t>
      </w:r>
    </w:p>
    <w:p>
      <w:pPr>
        <w:spacing w:after="60" w:before="60"/>
      </w:pPr>
      <w:r>
        <w:t xml:space="preserve"/>
      </w:r>
    </w:p>
    <w:p>
      <w:pPr>
        <w:spacing w:after="80" w:before="80"/>
        <w:jc w:val="both"/>
      </w:pPr>
      <w:r>
        <w:rPr>
          <w:rFonts w:ascii="Arial" w:cs="Arial" w:eastAsia="Arial" w:hAnsi="Arial"/>
          <w:sz w:val="22"/>
          <w:szCs w:val="22"/>
        </w:rPr>
        <w:t xml:space="preserve">ESP32-SAH maintains a Persona Library stored in the SPIFFS filesystem — a JSON-structured collection of device profiles, each containing:</w:t>
      </w:r>
    </w:p>
    <w:p>
      <w:pPr>
        <w:pStyle w:val="ListParagraph"/>
        <w:numPr>
          <w:ilvl w:val="0"/>
          <w:numId w:val="2"/>
        </w:numPr>
        <w:spacing w:after="60" w:before="60"/>
      </w:pPr>
      <w:r>
        <w:rPr>
          <w:rFonts w:ascii="Arial" w:cs="Arial" w:eastAsia="Arial" w:hAnsi="Arial"/>
          <w:sz w:val="22"/>
          <w:szCs w:val="22"/>
        </w:rPr>
        <w:t xml:space="preserve">Telnet login banners, HTTP server headers, MQTT client ID patterns, and SSH version strings extracted from real device firmware dumps (publicly available from IoT security research corpora such as FIRMADYNE and VirusTotal IoT database).</w:t>
      </w:r>
    </w:p>
    <w:p>
      <w:pPr>
        <w:pStyle w:val="ListParagraph"/>
        <w:numPr>
          <w:ilvl w:val="0"/>
          <w:numId w:val="2"/>
        </w:numPr>
        <w:spacing w:after="60" w:before="60"/>
      </w:pPr>
      <w:r>
        <w:rPr>
          <w:rFonts w:ascii="Arial" w:cs="Arial" w:eastAsia="Arial" w:hAnsi="Arial"/>
          <w:sz w:val="22"/>
          <w:szCs w:val="22"/>
        </w:rPr>
        <w:t xml:space="preserve">A Device Category Tag (router, IP camera, smart plug, industrial sensor, building automation controller).</w:t>
      </w:r>
    </w:p>
    <w:p>
      <w:pPr>
        <w:pStyle w:val="ListParagraph"/>
        <w:numPr>
          <w:ilvl w:val="0"/>
          <w:numId w:val="2"/>
        </w:numPr>
        <w:spacing w:after="60" w:before="60"/>
      </w:pPr>
      <w:r>
        <w:rPr>
          <w:rFonts w:ascii="Arial" w:cs="Arial" w:eastAsia="Arial" w:hAnsi="Arial"/>
          <w:sz w:val="22"/>
          <w:szCs w:val="22"/>
        </w:rPr>
        <w:t xml:space="preserve">A Vulnerability Profile indicating which known CVEs are associated with the device (e.g., CVE-2017-17215 for Huawei HG532 routers — the exploit used by Satori botnet).</w:t>
      </w:r>
    </w:p>
    <w:p>
      <w:pPr>
        <w:spacing w:after="60" w:before="60"/>
      </w:pPr>
      <w:r>
        <w:t xml:space="preserve"/>
      </w:r>
    </w:p>
    <w:p>
      <w:pPr>
        <w:spacing w:after="80" w:before="80"/>
        <w:jc w:val="both"/>
      </w:pPr>
      <w:r>
        <w:rPr>
          <w:rFonts w:ascii="Arial" w:cs="Arial" w:eastAsia="Arial" w:hAnsi="Arial"/>
          <w:sz w:val="22"/>
          <w:szCs w:val="22"/>
        </w:rPr>
        <w:t xml:space="preserve">On each new connection, the ESP32-SAH selects a persona from the library using one of three configurable strategies: (a) Random rotation to prevent fingerprinting by consistent banner comparison, (b) Targeted selection based on detected scanner tool signature (if the inbound probe matches a known Mirai scanning pattern, present a Mirai-targeted device profile to maximize engagement), or (c) SDG-aligned scenario selection for academic demonstration (present an industrial sensor persona to attract ICS-targeted probes, aligning with SDG 9 — Industry, Innovation and Infrastructure).</w:t>
      </w:r>
    </w:p>
    <w:p>
      <w:pPr>
        <w:spacing w:after="60" w:before="60"/>
      </w:pPr>
      <w:r>
        <w:t xml:space="preserve"/>
      </w:r>
    </w:p>
    <w:p>
      <w:pPr>
        <w:pStyle w:val="Heading2"/>
        <w:spacing w:after="120" w:before="280"/>
      </w:pPr>
      <w:r>
        <w:rPr>
          <w:rFonts w:ascii="Arial" w:cs="Arial" w:eastAsia="Arial" w:hAnsi="Arial"/>
          <w:b/>
          <w:bCs/>
          <w:color w:val="2E5FA3"/>
          <w:sz w:val="26"/>
          <w:szCs w:val="26"/>
        </w:rPr>
        <w:t xml:space="preserve">3.3  Summary of Improvements Over Prior Art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1E3A5F" w:sz="1"/>
              <w:left w:val="single" w:color="1E3A5F" w:sz="1"/>
              <w:bottom w:val="single" w:color="1E3A5F" w:sz="1"/>
              <w:right w:val="single" w:color="1E3A5F" w:sz="1"/>
            </w:tcBorders>
            <w:shd w:fill="1E3A5F" w:val="clear"/>
            <w:tcMar>
              <w:top w:type="dxa" w:w="100"/>
              <w:left w:type="dxa" w:w="150"/>
              <w:bottom w:type="dxa" w:w="100"/>
              <w:right w:type="dxa" w:w="150"/>
            </w:tcMar>
          </w:tcPr>
          <w:p>
            <w:r>
              <w:rPr>
                <w:rFonts w:ascii="Arial" w:cs="Arial" w:eastAsia="Arial" w:hAnsi="Arial"/>
                <w:b/>
                <w:bCs/>
                <w:color w:val="FFFFFF"/>
                <w:sz w:val="22"/>
                <w:szCs w:val="22"/>
              </w:rPr>
              <w:t xml:space="preserve">Capability</w:t>
            </w:r>
          </w:p>
        </w:tc>
        <w:tc>
          <w:tcPr>
            <w:tcW w:type="dxa" w:w="3120"/>
            <w:tcBorders>
              <w:top w:val="single" w:color="1E3A5F" w:sz="1"/>
              <w:left w:val="single" w:color="1E3A5F" w:sz="1"/>
              <w:bottom w:val="single" w:color="1E3A5F" w:sz="1"/>
              <w:right w:val="single" w:color="1E3A5F" w:sz="1"/>
            </w:tcBorders>
            <w:shd w:fill="1E3A5F" w:val="clear"/>
            <w:tcMar>
              <w:top w:type="dxa" w:w="100"/>
              <w:left w:type="dxa" w:w="150"/>
              <w:bottom w:type="dxa" w:w="100"/>
              <w:right w:type="dxa" w:w="150"/>
            </w:tcMar>
          </w:tcPr>
          <w:p>
            <w:r>
              <w:rPr>
                <w:rFonts w:ascii="Arial" w:cs="Arial" w:eastAsia="Arial" w:hAnsi="Arial"/>
                <w:b/>
                <w:bCs/>
                <w:color w:val="FFFFFF"/>
                <w:sz w:val="22"/>
                <w:szCs w:val="22"/>
              </w:rPr>
              <w:t xml:space="preserve">Existing Lightweight Honeypots (ESP8266/RPi-based)</w:t>
            </w:r>
          </w:p>
        </w:tc>
        <w:tc>
          <w:tcPr>
            <w:tcW w:type="dxa" w:w="3120"/>
            <w:tcBorders>
              <w:top w:val="single" w:color="1E3A5F" w:sz="1"/>
              <w:left w:val="single" w:color="1E3A5F" w:sz="1"/>
              <w:bottom w:val="single" w:color="1E3A5F" w:sz="1"/>
              <w:right w:val="single" w:color="1E3A5F" w:sz="1"/>
            </w:tcBorders>
            <w:shd w:fill="1E3A5F" w:val="clear"/>
            <w:tcMar>
              <w:top w:type="dxa" w:w="100"/>
              <w:left w:type="dxa" w:w="150"/>
              <w:bottom w:type="dxa" w:w="100"/>
              <w:right w:type="dxa" w:w="150"/>
            </w:tcMar>
          </w:tcPr>
          <w:p>
            <w:r>
              <w:rPr>
                <w:rFonts w:ascii="Arial" w:cs="Arial" w:eastAsia="Arial" w:hAnsi="Arial"/>
                <w:b/>
                <w:bCs/>
                <w:color w:val="FFFFFF"/>
                <w:sz w:val="22"/>
                <w:szCs w:val="22"/>
              </w:rPr>
              <w:t xml:space="preserve">Proposed ESP32-SAH</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Protocol interaction depth</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Single-round (banner only)</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Multi-round FSM with full session emulation</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On-device attacker classification</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None — raw log only</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Real-time 4-class behavioural tagger using entropy and timing</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Honeypot detection resistance</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Static banner — easily fingerprinted</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Dynamic persona rotation from 20+ device profiles</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Protocols emulated</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Typically Telnet only</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Telnet, HTTP, MQTT, CoAP concurrently under FreeRTOS</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Hardware requirement</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Raspberry Pi (Linux) or dedicated server</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ESP32 only — 240 MHz, 520 KB SRAM, 4 MB flash</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Cloud/server dependency</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Required for Attivo / Cowrie</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Fully autonomous; optional cloud alert push</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Forensic output format</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PCAP / syslog (external)</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SPIFFS JSON log + MITRE ATT&amp;CK TTP tag per session</w:t>
            </w:r>
          </w:p>
        </w:tc>
      </w:tr>
    </w:tbl>
    <w:p>
      <w:pPr>
        <w:spacing w:after="60" w:before="60"/>
      </w:pPr>
      <w:r>
        <w:t xml:space="preserve"/>
      </w:r>
    </w:p>
    <w:p>
      <w:pPr>
        <w:pStyle w:val="Heading2"/>
        <w:spacing w:after="120" w:before="280"/>
      </w:pPr>
      <w:r>
        <w:rPr>
          <w:rFonts w:ascii="Arial" w:cs="Arial" w:eastAsia="Arial" w:hAnsi="Arial"/>
          <w:b/>
          <w:bCs/>
          <w:color w:val="2E5FA3"/>
          <w:sz w:val="26"/>
          <w:szCs w:val="26"/>
        </w:rPr>
        <w:t xml:space="preserve">3.4  SDG Alignment</w:t>
      </w:r>
    </w:p>
    <w:p>
      <w:pPr>
        <w:spacing w:after="80" w:before="80"/>
        <w:jc w:val="both"/>
      </w:pPr>
      <w:r>
        <w:rPr>
          <w:rFonts w:ascii="Arial" w:cs="Arial" w:eastAsia="Arial" w:hAnsi="Arial"/>
          <w:sz w:val="22"/>
          <w:szCs w:val="22"/>
        </w:rPr>
        <w:t xml:space="preserve">This project aligns with United Nations Sustainable Development Goal 9 (SDG 9): Industry, Innovation and Infrastructure. By deploying a resource-minimal, microcontroller-class honeypot capable of defending IoT infrastructure in low-cost and resource-constrained environments (small enterprises, academic labs, developing-nation industrial deployments), the ESP32-SAH democratizes access to threat intelligence technology that was previously available only to large organizations operating server-class deception infrastructure.</w:t>
      </w:r>
    </w:p>
    <w:p>
      <w:pPr>
        <w:spacing w:after="60" w:before="60"/>
      </w:pPr>
      <w:r>
        <w:t xml:space="preserve"/>
      </w:r>
    </w:p>
    <w:p>
      <w:pPr>
        <w:pStyle w:val="Heading2"/>
        <w:spacing w:after="120" w:before="280"/>
      </w:pPr>
      <w:r>
        <w:rPr>
          <w:rFonts w:ascii="Arial" w:cs="Arial" w:eastAsia="Arial" w:hAnsi="Arial"/>
          <w:b/>
          <w:bCs/>
          <w:color w:val="2E5FA3"/>
          <w:sz w:val="26"/>
          <w:szCs w:val="26"/>
        </w:rPr>
        <w:t xml:space="preserve">3.5  References</w:t>
      </w:r>
    </w:p>
    <w:p>
      <w:pPr>
        <w:spacing w:after="80" w:before="80"/>
        <w:jc w:val="both"/>
      </w:pPr>
      <w:r>
        <w:rPr>
          <w:rFonts w:ascii="Arial" w:cs="Arial" w:eastAsia="Arial" w:hAnsi="Arial"/>
          <w:sz w:val="22"/>
          <w:szCs w:val="22"/>
        </w:rPr>
        <w:t xml:space="preserve">1.  US Patent 10,986,126 B2 — Intelligent-Interaction Honeypot for IoT Devices (IoTCandyJar). Granted April 20, 2021. Available: https://patents.justia.com/patent/10986126</w:t>
      </w:r>
    </w:p>
    <w:p>
      <w:pPr>
        <w:spacing w:after="60" w:before="60"/>
      </w:pPr>
      <w:r>
        <w:t xml:space="preserve"/>
      </w:r>
    </w:p>
    <w:p>
      <w:pPr>
        <w:spacing w:after="80" w:before="80"/>
        <w:jc w:val="both"/>
      </w:pPr>
      <w:r>
        <w:rPr>
          <w:rFonts w:ascii="Arial" w:cs="Arial" w:eastAsia="Arial" w:hAnsi="Arial"/>
          <w:sz w:val="22"/>
          <w:szCs w:val="22"/>
        </w:rPr>
        <w:t xml:space="preserve">2.  Attivo Networks ThreatDefend Platform Overview. Deception for Detection and Attack Path Visibility. Available: https://www.attivonetworks.com</w:t>
      </w:r>
    </w:p>
    <w:p>
      <w:pPr>
        <w:spacing w:after="60" w:before="60"/>
      </w:pPr>
      <w:r>
        <w:t xml:space="preserve"/>
      </w:r>
    </w:p>
    <w:p>
      <w:pPr>
        <w:spacing w:after="80" w:before="80"/>
        <w:jc w:val="both"/>
      </w:pPr>
      <w:r>
        <w:rPr>
          <w:rFonts w:ascii="Arial" w:cs="Arial" w:eastAsia="Arial" w:hAnsi="Arial"/>
          <w:sz w:val="22"/>
          <w:szCs w:val="22"/>
        </w:rPr>
        <w:t xml:space="preserve">3.  Sharma, D. et al. (2023). "Honeypot Networks in Deception Technology for IoT Devices." ResearchGate / Bayesian Game-Theoretic Model.</w:t>
      </w:r>
    </w:p>
    <w:p>
      <w:pPr>
        <w:spacing w:after="60" w:before="60"/>
      </w:pPr>
      <w:r>
        <w:t xml:space="preserve"/>
      </w:r>
    </w:p>
    <w:p>
      <w:pPr>
        <w:spacing w:after="80" w:before="80"/>
        <w:jc w:val="both"/>
      </w:pPr>
      <w:r>
        <w:rPr>
          <w:rFonts w:ascii="Arial" w:cs="Arial" w:eastAsia="Arial" w:hAnsi="Arial"/>
          <w:sz w:val="22"/>
          <w:szCs w:val="22"/>
        </w:rPr>
        <w:t xml:space="preserve">4.  Morozov, D. et al. (2024). "The Sweet Taste of IoT Deception: An Adaptive Honeypot Framework." Journal of Edge Computing, Acnsci.org.</w:t>
      </w:r>
    </w:p>
    <w:p>
      <w:pPr>
        <w:spacing w:after="60" w:before="60"/>
      </w:pPr>
      <w:r>
        <w:t xml:space="preserve"/>
      </w:r>
    </w:p>
    <w:p>
      <w:pPr>
        <w:spacing w:after="80" w:before="80"/>
        <w:jc w:val="both"/>
      </w:pPr>
      <w:r>
        <w:rPr>
          <w:rFonts w:ascii="Arial" w:cs="Arial" w:eastAsia="Arial" w:hAnsi="Arial"/>
          <w:sz w:val="22"/>
          <w:szCs w:val="22"/>
        </w:rPr>
        <w:t xml:space="preserve">5.  Guan, C. et al. (2025). "Cyber-Physical Deception Through Coordinated IoT Honeypots (CPDS)." USENIX Security '25.</w:t>
      </w:r>
    </w:p>
    <w:p>
      <w:pPr>
        <w:spacing w:after="60" w:before="60"/>
      </w:pPr>
      <w:r>
        <w:t xml:space="preserve"/>
      </w:r>
    </w:p>
    <w:p>
      <w:pPr>
        <w:spacing w:after="80" w:before="80"/>
        <w:jc w:val="both"/>
      </w:pPr>
      <w:r>
        <w:rPr>
          <w:rFonts w:ascii="Arial" w:cs="Arial" w:eastAsia="Arial" w:hAnsi="Arial"/>
          <w:sz w:val="22"/>
          <w:szCs w:val="22"/>
        </w:rPr>
        <w:t xml:space="preserve">6.  MITRE ATT&amp;CK for ICS/IoT Framework. Available: https://attack.mitre.org</w:t>
      </w:r>
    </w:p>
    <w:p>
      <w:pPr>
        <w:spacing w:after="60" w:before="60"/>
      </w:pPr>
      <w:r>
        <w:t xml:space="preserve"/>
      </w:r>
    </w:p>
    <w:p>
      <w:pPr>
        <w:spacing w:after="80" w:before="80"/>
        <w:jc w:val="both"/>
      </w:pPr>
      <w:r>
        <w:rPr>
          <w:rFonts w:ascii="Arial" w:cs="Arial" w:eastAsia="Arial" w:hAnsi="Arial"/>
          <w:sz w:val="22"/>
          <w:szCs w:val="22"/>
        </w:rPr>
        <w:t xml:space="preserve">7.  MDPI IoT Journal (2024). "An Innovative Honeypot Architecture for Detecting and Mitigating Hardware Trojans in IoT Devices." Vol 5, Issue 4.</w:t>
      </w:r>
    </w:p>
    <w:p>
      <w:pPr>
        <w:spacing w:after="60" w:before="60"/>
      </w:pPr>
      <w:r>
        <w:t xml:space="preserve"/>
      </w:r>
    </w:p>
    <w:p>
      <w:pPr>
        <w:spacing w:after="80" w:before="80"/>
        <w:jc w:val="both"/>
      </w:pPr>
      <w:r>
        <w:rPr>
          <w:rFonts w:ascii="Arial" w:cs="Arial" w:eastAsia="Arial" w:hAnsi="Arial"/>
          <w:sz w:val="22"/>
          <w:szCs w:val="22"/>
        </w:rPr>
        <w:t xml:space="preserve">8.  Industrial Cyber (2026). "Beyond the Honeypot: How OT Deception is Reshaping Active Defense in ICS Networks."</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E3A5F" w:sz="4" w:space="2"/>
      </w:pBdr>
      <w:jc w:val="center"/>
    </w:pPr>
    <w:r>
      <w:rPr>
        <w:rFonts w:ascii="Arial" w:cs="Arial" w:eastAsia="Arial" w:hAnsi="Arial"/>
        <w:color w:val="555555"/>
        <w:sz w:val="18"/>
        <w:szCs w:val="18"/>
      </w:rPr>
      <w:t xml:space="preserve">23BDS0051 | Rohit Phaniram Sakamuri  </w:t>
    </w:r>
    <w:r>
      <w:rPr>
        <w:rFonts w:ascii="Arial" w:cs="Arial" w:eastAsia="Arial" w:hAnsi="Arial"/>
        <w:color w:val="555555"/>
        <w:sz w:val="18"/>
        <w:szCs w:val="18"/>
      </w:rPr>
      <w:fldChar w:fldCharType="begin"/>
      <w:instrText xml:space="preserve">PAGE</w:instrText>
      <w:fldChar w:fldCharType="separate"/>
      <w:fldChar w:fldCharType="end"/>
    </w:r>
    <w:r>
      <w:rPr>
        <w:rFonts w:ascii="Arial" w:cs="Arial" w:eastAsia="Arial" w:hAnsi="Arial"/>
        <w:color w:val="555555"/>
        <w:sz w:val="18"/>
        <w:szCs w:val="18"/>
      </w:rPr>
      <w:t xml:space="preserve"> / </w:t>
    </w:r>
    <w:r>
      <w:rPr>
        <w:rFonts w:ascii="Arial" w:cs="Arial" w:eastAsia="Arial" w:hAnsi="Arial"/>
        <w:color w:val="555555"/>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E3A5F" w:sz="4" w:space="2"/>
      </w:pBdr>
      <w:spacing w:after="120"/>
    </w:pPr>
    <w:r>
      <w:rPr>
        <w:rFonts w:ascii="Arial" w:cs="Arial" w:eastAsia="Arial" w:hAnsi="Arial"/>
        <w:color w:val="555555"/>
        <w:sz w:val="18"/>
        <w:szCs w:val="18"/>
      </w:rPr>
      <w:t xml:space="preserve">ESP32 IoT Honeypot System  |  Review-1 Literature Survey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E3A5F"/>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2E5FA3"/>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3A7CA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2026-04-17T18:21:49.244Z</dcterms:created>
  <dcterms:modified xsi:type="dcterms:W3CDTF">2026-04-17T18:21:49.245Z</dcterms:modified>
</cp:coreProperties>
</file>

<file path=docProps/custom.xml><?xml version="1.0" encoding="utf-8"?>
<Properties xmlns="http://schemas.openxmlformats.org/officeDocument/2006/custom-properties" xmlns:vt="http://schemas.openxmlformats.org/officeDocument/2006/docPropsVTypes"/>
</file>