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answers in one python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https://github.com/RohitSagare/ineuron_final_assignment/blob/e30a5e47f30f10a3e4daf58f2463b7b5d733b182/python%20final%20Assignment.ipynb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Stats:-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Q-1. A university wants to understand the relationship between the SAT scores of 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applicants and their college GPA. They collect data on 500 students, including their SAT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scores (out of 1600) and their college GPA (on a 4.0 scale). They find that the correlation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coefficient between SAT scores and college GPA is 0.7. What does this correlation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coefficient indicate about the relationship between SAT scores and college GPA?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Answer:-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correlation coefficient of 0.7 indicates a strong positive relationship between SAT scores and college GPA.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correlation coefficient ranges from -1 to +1, with 0 indicating no correlation, -1 indicating a strong negative correlation, and +1 indicating a strong positive correlation. In this case, a correlation coefficient of 0.7 suggests that there is a strong positive linear relationship between SAT scores and college GPA.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Q-2. Consider a dataset containing the heights (in centimeters) of 1000 individuals.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mean height is 170 cm with a standard deviation of 10 cm. The dataset is approximately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normally distributed, and its skewness is approximately zero. Based on this information,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 What percentage of individuals in the dataset have heights between 160 cm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180 cm?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If we randomly select 100 individuals from the dataset, what is the probability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that their average height is greater than 175 cm?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Assuming the dataset follows a normal distribution, what is the z-score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corresponding to a height of 185 cm?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d. We know that 5% of the dataset has heights below a certain value. What 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approximate height corresponding to this threshold?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e. Calculate the coefficient of variation (CV) for the dataset.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f. Calculate the skewness of the dataset and interpret the result.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Answer:-</w:t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https://github.com/RohitSagare/ineuron_final_assignment/blob/5f9c46a684c49400eb764a750e8785dcacd9cf68/question2(stat).ipynb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Q-3. Consider the ‘Blood Pressure Before’ and ‘Blood Pressure After’ columns from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and calculate the following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https://drive.google.com/file/d/1mCjtYHiX--mMUjicuaP2gH3k-SnFxt8Y/view?usp=share_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 Measure the dispersion in both and interpret the results.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b. Calculate mean and 5% confidence interval and plot it in a graph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Calculate the Mean absolute deviation and Standard deviation and interpret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results.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d. Calculate the correlation coefficient and check the significance of it at 1% level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of significance.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Answer:-</w:t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https://github.com/RohitSagare/ineuron_final_assignment/blob/139811676d7d7daa75a9409d97b6cc3de447f400/question3(stats).ipynb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hitSagare/ineuron_final_assignment/blob/5f9c46a684c49400eb764a750e8785dcacd9cf68/question2(stat).ipynb" TargetMode="External"/><Relationship Id="rId7" Type="http://schemas.openxmlformats.org/officeDocument/2006/relationships/hyperlink" Target="https://github.com/RohitSagare/ineuron_final_assignment/blob/139811676d7d7daa75a9409d97b6cc3de447f400/question3(stats)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