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726D" w14:textId="4189D2A7" w:rsidR="0079128C" w:rsidRPr="0079128C" w:rsidRDefault="0079128C" w:rsidP="0079128C">
      <w:pPr>
        <w:rPr>
          <w:b/>
          <w:bCs/>
          <w:sz w:val="32"/>
          <w:szCs w:val="32"/>
        </w:rPr>
      </w:pPr>
      <w:r w:rsidRPr="0079128C">
        <w:rPr>
          <w:b/>
          <w:bCs/>
          <w:sz w:val="32"/>
          <w:szCs w:val="32"/>
        </w:rPr>
        <w:t xml:space="preserve"> Tata Motors DVR Conversion: What </w:t>
      </w:r>
      <w:r>
        <w:rPr>
          <w:b/>
          <w:bCs/>
          <w:sz w:val="32"/>
          <w:szCs w:val="32"/>
        </w:rPr>
        <w:t xml:space="preserve">WE AS </w:t>
      </w:r>
      <w:proofErr w:type="gramStart"/>
      <w:r w:rsidR="001D7B48">
        <w:rPr>
          <w:b/>
          <w:bCs/>
          <w:sz w:val="32"/>
          <w:szCs w:val="32"/>
        </w:rPr>
        <w:t>A</w:t>
      </w:r>
      <w:proofErr w:type="gramEnd"/>
      <w:r>
        <w:rPr>
          <w:b/>
          <w:bCs/>
          <w:sz w:val="32"/>
          <w:szCs w:val="32"/>
        </w:rPr>
        <w:t xml:space="preserve"> </w:t>
      </w:r>
      <w:r w:rsidRPr="0079128C">
        <w:rPr>
          <w:b/>
          <w:bCs/>
          <w:sz w:val="32"/>
          <w:szCs w:val="32"/>
        </w:rPr>
        <w:t>Investors Need to Know</w:t>
      </w:r>
    </w:p>
    <w:p w14:paraId="54949DEE" w14:textId="77777777" w:rsidR="0079128C" w:rsidRDefault="0079128C" w:rsidP="0079128C"/>
    <w:p w14:paraId="647BA799" w14:textId="77777777" w:rsidR="0079128C" w:rsidRPr="0079128C" w:rsidRDefault="0079128C" w:rsidP="0079128C">
      <w:pPr>
        <w:rPr>
          <w:sz w:val="24"/>
          <w:szCs w:val="24"/>
        </w:rPr>
      </w:pPr>
      <w:r w:rsidRPr="0079128C">
        <w:rPr>
          <w:sz w:val="24"/>
          <w:szCs w:val="24"/>
        </w:rPr>
        <w:t>Recently, Tata Motors made a significant decision to convert its Differential Voting Rights (DVR) shares into ordinary shares. This move, approved by 99.8% of shareholders, is pivotal in simplifying the company's capital structure and enhancing investor confidence. As an investor, understanding the implications of this change is crucial for making informed decisions.</w:t>
      </w:r>
    </w:p>
    <w:p w14:paraId="405318F4" w14:textId="77777777" w:rsidR="0079128C" w:rsidRDefault="0079128C" w:rsidP="0079128C"/>
    <w:p w14:paraId="6B141D46" w14:textId="3A3A3479" w:rsidR="0079128C" w:rsidRDefault="0079128C" w:rsidP="0079128C">
      <w:r w:rsidRPr="0079128C">
        <w:rPr>
          <w:b/>
          <w:bCs/>
          <w:sz w:val="24"/>
          <w:szCs w:val="24"/>
          <w:u w:val="single"/>
        </w:rPr>
        <w:t>1. Positive Market</w:t>
      </w:r>
      <w:r w:rsidR="001D7B48">
        <w:rPr>
          <w:b/>
          <w:bCs/>
          <w:sz w:val="24"/>
          <w:szCs w:val="24"/>
          <w:u w:val="single"/>
        </w:rPr>
        <w:t xml:space="preserve"> </w:t>
      </w:r>
      <w:proofErr w:type="gramStart"/>
      <w:r w:rsidR="001D7B48" w:rsidRPr="0079128C">
        <w:rPr>
          <w:b/>
          <w:bCs/>
          <w:sz w:val="24"/>
          <w:szCs w:val="24"/>
          <w:u w:val="single"/>
        </w:rPr>
        <w:t>Reaction</w:t>
      </w:r>
      <w:r w:rsidRPr="0079128C">
        <w:rPr>
          <w:b/>
          <w:bCs/>
          <w:sz w:val="24"/>
          <w:szCs w:val="24"/>
          <w:u w:val="single"/>
        </w:rPr>
        <w:t>:-</w:t>
      </w:r>
      <w:proofErr w:type="gramEnd"/>
      <w:r>
        <w:t xml:space="preserve"> Following the announcement, Tata Motors DVR shares surged by 17%. This rise reflects the market's positive reception, primarily driven by the premium offered during the conversion. Investors will receive seven ordinary shares for every ten DVR shares, which translates to a 23% premium on the previous DVR share price</w:t>
      </w:r>
      <w:r>
        <w:rPr>
          <w:rFonts w:ascii="MS Gothic" w:eastAsia="MS Gothic" w:hAnsi="MS Gothic" w:cs="MS Gothic"/>
        </w:rPr>
        <w:t>.</w:t>
      </w:r>
    </w:p>
    <w:p w14:paraId="7DB3F013" w14:textId="77777777" w:rsidR="0079128C" w:rsidRDefault="0079128C" w:rsidP="0079128C"/>
    <w:p w14:paraId="7B0E0D99" w14:textId="06A51B36" w:rsidR="0079128C" w:rsidRDefault="0079128C" w:rsidP="0079128C">
      <w:r w:rsidRPr="0079128C">
        <w:rPr>
          <w:b/>
          <w:bCs/>
          <w:sz w:val="24"/>
          <w:szCs w:val="24"/>
          <w:u w:val="single"/>
        </w:rPr>
        <w:t xml:space="preserve">2. Simplified Capital </w:t>
      </w:r>
      <w:proofErr w:type="gramStart"/>
      <w:r w:rsidRPr="0079128C">
        <w:rPr>
          <w:b/>
          <w:bCs/>
          <w:sz w:val="24"/>
          <w:szCs w:val="24"/>
          <w:u w:val="single"/>
        </w:rPr>
        <w:t>Structure:</w:t>
      </w:r>
      <w:r w:rsidRPr="0079128C">
        <w:rPr>
          <w:b/>
          <w:bCs/>
          <w:sz w:val="24"/>
          <w:szCs w:val="24"/>
          <w:u w:val="single"/>
        </w:rPr>
        <w:t>-</w:t>
      </w:r>
      <w:proofErr w:type="gramEnd"/>
      <w:r w:rsidRPr="0079128C">
        <w:rPr>
          <w:b/>
          <w:bCs/>
          <w:sz w:val="24"/>
          <w:szCs w:val="24"/>
          <w:u w:val="single"/>
        </w:rPr>
        <w:t xml:space="preserve"> </w:t>
      </w:r>
      <w:r>
        <w:t>The conversion is expected to simplify Tata Motors' capital framework by eliminating the price discount between DVR and ordinary shares. This move is anticipated to improve liquidity, transparency, and overall market capitalization, which is a positive development for long-term investor</w:t>
      </w:r>
      <w:r>
        <w:t>.</w:t>
      </w:r>
    </w:p>
    <w:p w14:paraId="652C9ACB" w14:textId="77777777" w:rsidR="0079128C" w:rsidRDefault="0079128C" w:rsidP="0079128C"/>
    <w:p w14:paraId="7B3B5375" w14:textId="2498E83F" w:rsidR="0079128C" w:rsidRDefault="0079128C" w:rsidP="0079128C">
      <w:r w:rsidRPr="0079128C">
        <w:rPr>
          <w:b/>
          <w:bCs/>
          <w:sz w:val="24"/>
          <w:szCs w:val="24"/>
          <w:u w:val="single"/>
        </w:rPr>
        <w:t xml:space="preserve">3. Tax </w:t>
      </w:r>
      <w:proofErr w:type="gramStart"/>
      <w:r w:rsidRPr="0079128C">
        <w:rPr>
          <w:b/>
          <w:bCs/>
          <w:sz w:val="24"/>
          <w:szCs w:val="24"/>
          <w:u w:val="single"/>
        </w:rPr>
        <w:t>Implications:</w:t>
      </w:r>
      <w:r w:rsidRPr="0079128C">
        <w:rPr>
          <w:b/>
          <w:bCs/>
          <w:sz w:val="24"/>
          <w:szCs w:val="24"/>
          <w:u w:val="single"/>
        </w:rPr>
        <w:t>-</w:t>
      </w:r>
      <w:proofErr w:type="gramEnd"/>
      <w:r>
        <w:t xml:space="preserve"> While the conversion offers potential value gains, it's essential to consider the tax implications. The conversion is treated as a 'dividend payout,' subject to dividend distribution tax and capital gains tax, which might affect your net returns depending on your investor category</w:t>
      </w:r>
      <w:r>
        <w:rPr>
          <w:rFonts w:ascii="MS Gothic" w:eastAsia="MS Gothic" w:hAnsi="MS Gothic" w:cs="MS Gothic"/>
        </w:rPr>
        <w:t>.</w:t>
      </w:r>
    </w:p>
    <w:p w14:paraId="2DFD970E" w14:textId="77777777" w:rsidR="0079128C" w:rsidRPr="0079128C" w:rsidRDefault="0079128C" w:rsidP="0079128C">
      <w:pPr>
        <w:rPr>
          <w:b/>
          <w:bCs/>
          <w:sz w:val="28"/>
          <w:szCs w:val="28"/>
          <w:u w:val="single"/>
        </w:rPr>
      </w:pPr>
    </w:p>
    <w:p w14:paraId="7498CF1F" w14:textId="0DD59B41" w:rsidR="0079128C" w:rsidRPr="0079128C" w:rsidRDefault="0079128C" w:rsidP="0079128C">
      <w:pPr>
        <w:rPr>
          <w:b/>
          <w:bCs/>
          <w:sz w:val="28"/>
          <w:szCs w:val="28"/>
          <w:u w:val="single"/>
        </w:rPr>
      </w:pPr>
      <w:r w:rsidRPr="0079128C">
        <w:rPr>
          <w:b/>
          <w:bCs/>
          <w:sz w:val="28"/>
          <w:szCs w:val="28"/>
          <w:u w:val="single"/>
        </w:rPr>
        <w:t xml:space="preserve">My Analysis and </w:t>
      </w:r>
      <w:proofErr w:type="gramStart"/>
      <w:r w:rsidRPr="0079128C">
        <w:rPr>
          <w:b/>
          <w:bCs/>
          <w:sz w:val="28"/>
          <w:szCs w:val="28"/>
          <w:u w:val="single"/>
        </w:rPr>
        <w:t>Strategy</w:t>
      </w:r>
      <w:r w:rsidRPr="0079128C">
        <w:rPr>
          <w:b/>
          <w:bCs/>
          <w:sz w:val="28"/>
          <w:szCs w:val="28"/>
          <w:u w:val="single"/>
        </w:rPr>
        <w:t>:-</w:t>
      </w:r>
      <w:proofErr w:type="gramEnd"/>
    </w:p>
    <w:p w14:paraId="254ECCB4" w14:textId="77777777" w:rsidR="0079128C" w:rsidRDefault="0079128C" w:rsidP="0079128C">
      <w:r>
        <w:t xml:space="preserve">Given the </w:t>
      </w:r>
      <w:proofErr w:type="spellStart"/>
      <w:r>
        <w:t>favorable</w:t>
      </w:r>
      <w:proofErr w:type="spellEnd"/>
      <w:r>
        <w:t xml:space="preserve"> premium and the positive outlook on Tata Motors’ share restructuring, holding onto or even increasing your position in Tata Motors shares could be a prudent strategy. The simplification of the capital structure and the elimination of DVRs are likely to enhance shareholder value over time.</w:t>
      </w:r>
    </w:p>
    <w:p w14:paraId="264A97E4" w14:textId="7F99EBE6" w:rsidR="001D7B48" w:rsidRPr="001D7B48" w:rsidRDefault="001D7B48" w:rsidP="0079128C">
      <w:pPr>
        <w:rPr>
          <w:b/>
          <w:bCs/>
          <w:sz w:val="28"/>
          <w:szCs w:val="28"/>
          <w:u w:val="single"/>
        </w:rPr>
      </w:pPr>
      <w:r w:rsidRPr="001D7B48">
        <w:rPr>
          <w:b/>
          <w:bCs/>
          <w:sz w:val="28"/>
          <w:szCs w:val="28"/>
          <w:u w:val="single"/>
        </w:rPr>
        <w:t>What I Have Learned</w:t>
      </w:r>
    </w:p>
    <w:p w14:paraId="7EA911DE" w14:textId="2BD584F6" w:rsidR="0079128C" w:rsidRDefault="0079128C" w:rsidP="0079128C">
      <w:r>
        <w:t xml:space="preserve">This event underscores the importance of understanding complex financial instruments like DVRs and the potential benefits or risks associated with corporate restructuring. Staying informed and </w:t>
      </w:r>
      <w:proofErr w:type="spellStart"/>
      <w:r>
        <w:t>analyzing</w:t>
      </w:r>
      <w:proofErr w:type="spellEnd"/>
      <w:r>
        <w:t xml:space="preserve"> such developments can significantly impact your investment decisions.</w:t>
      </w:r>
      <w:r w:rsidR="001D7B48">
        <w:t xml:space="preserve"> </w:t>
      </w:r>
    </w:p>
    <w:p w14:paraId="4CBE6599" w14:textId="2FC6BA4F" w:rsidR="0079128C" w:rsidRPr="001D7B48" w:rsidRDefault="0079128C" w:rsidP="0079128C">
      <w:pPr>
        <w:rPr>
          <w:b/>
          <w:bCs/>
          <w:sz w:val="28"/>
          <w:szCs w:val="28"/>
          <w:u w:val="single"/>
        </w:rPr>
      </w:pPr>
      <w:r w:rsidRPr="001D7B48">
        <w:rPr>
          <w:b/>
          <w:bCs/>
          <w:sz w:val="28"/>
          <w:szCs w:val="28"/>
          <w:u w:val="single"/>
        </w:rPr>
        <w:t xml:space="preserve">Impact on Tata Motors </w:t>
      </w:r>
      <w:r w:rsidR="001D7B48" w:rsidRPr="001D7B48">
        <w:rPr>
          <w:b/>
          <w:bCs/>
          <w:sz w:val="28"/>
          <w:szCs w:val="28"/>
          <w:u w:val="single"/>
        </w:rPr>
        <w:t>share</w:t>
      </w:r>
      <w:r w:rsidRPr="001D7B48">
        <w:rPr>
          <w:b/>
          <w:bCs/>
          <w:sz w:val="28"/>
          <w:szCs w:val="28"/>
          <w:u w:val="single"/>
        </w:rPr>
        <w:t>:</w:t>
      </w:r>
    </w:p>
    <w:p w14:paraId="3DA6A496" w14:textId="77777777" w:rsidR="005D7C94" w:rsidRDefault="0079128C" w:rsidP="0079128C">
      <w:pPr>
        <w:rPr>
          <w:sz w:val="24"/>
          <w:szCs w:val="24"/>
        </w:rPr>
      </w:pPr>
      <w:r w:rsidRPr="001D7B48">
        <w:rPr>
          <w:sz w:val="24"/>
          <w:szCs w:val="24"/>
        </w:rPr>
        <w:t xml:space="preserve">The consolidation of shares is expected to improve earnings per share (EPS) and overall market capitalization, making Tata Motors an even more attractive investment. The </w:t>
      </w:r>
    </w:p>
    <w:p w14:paraId="039C309D" w14:textId="57219038" w:rsidR="00283D0C" w:rsidRDefault="001D7B48" w:rsidP="0079128C">
      <w:pPr>
        <w:rPr>
          <w:sz w:val="24"/>
          <w:szCs w:val="24"/>
        </w:rPr>
      </w:pPr>
      <w:r>
        <w:rPr>
          <w:noProof/>
          <w:sz w:val="24"/>
          <w:szCs w:val="24"/>
        </w:rPr>
        <w:lastRenderedPageBreak/>
        <w:drawing>
          <wp:inline distT="0" distB="0" distL="0" distR="0" wp14:anchorId="5FB2120C" wp14:editId="15695632">
            <wp:extent cx="6446520" cy="5004435"/>
            <wp:effectExtent l="0" t="0" r="0" b="5715"/>
            <wp:docPr id="134921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18104" name="Picture 13492181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46520" cy="5004435"/>
                    </a:xfrm>
                    <a:prstGeom prst="rect">
                      <a:avLst/>
                    </a:prstGeom>
                  </pic:spPr>
                </pic:pic>
              </a:graphicData>
            </a:graphic>
          </wp:inline>
        </w:drawing>
      </w:r>
    </w:p>
    <w:p w14:paraId="0C09EBA0" w14:textId="77777777" w:rsidR="00C14193" w:rsidRDefault="00C14193" w:rsidP="0079128C">
      <w:pPr>
        <w:rPr>
          <w:sz w:val="24"/>
          <w:szCs w:val="24"/>
        </w:rPr>
      </w:pPr>
    </w:p>
    <w:p w14:paraId="6BAF6BEE" w14:textId="77777777" w:rsidR="00C14193" w:rsidRDefault="00C14193" w:rsidP="00C14193">
      <w:pPr>
        <w:rPr>
          <w:b/>
          <w:bCs/>
          <w:sz w:val="24"/>
          <w:szCs w:val="24"/>
        </w:rPr>
      </w:pPr>
    </w:p>
    <w:p w14:paraId="13CAEA22" w14:textId="77777777" w:rsidR="00C14193" w:rsidRDefault="00C14193" w:rsidP="00C14193">
      <w:pPr>
        <w:rPr>
          <w:b/>
          <w:bCs/>
          <w:sz w:val="24"/>
          <w:szCs w:val="24"/>
        </w:rPr>
      </w:pPr>
    </w:p>
    <w:p w14:paraId="04BC257A" w14:textId="77777777" w:rsidR="00C14193" w:rsidRDefault="00C14193" w:rsidP="00C14193">
      <w:pPr>
        <w:rPr>
          <w:b/>
          <w:bCs/>
          <w:sz w:val="24"/>
          <w:szCs w:val="24"/>
        </w:rPr>
      </w:pPr>
    </w:p>
    <w:p w14:paraId="45DBA0C2" w14:textId="77777777" w:rsidR="00C14193" w:rsidRDefault="00C14193" w:rsidP="00C14193">
      <w:pPr>
        <w:rPr>
          <w:b/>
          <w:bCs/>
          <w:sz w:val="24"/>
          <w:szCs w:val="24"/>
        </w:rPr>
      </w:pPr>
    </w:p>
    <w:p w14:paraId="131CD7E2" w14:textId="77777777" w:rsidR="00C14193" w:rsidRDefault="00C14193" w:rsidP="00C14193">
      <w:pPr>
        <w:rPr>
          <w:b/>
          <w:bCs/>
          <w:sz w:val="24"/>
          <w:szCs w:val="24"/>
        </w:rPr>
      </w:pPr>
    </w:p>
    <w:p w14:paraId="1A2FD8B9" w14:textId="77777777" w:rsidR="00C14193" w:rsidRDefault="00C14193" w:rsidP="00C14193">
      <w:pPr>
        <w:rPr>
          <w:b/>
          <w:bCs/>
          <w:sz w:val="24"/>
          <w:szCs w:val="24"/>
        </w:rPr>
      </w:pPr>
    </w:p>
    <w:p w14:paraId="071CCEC1" w14:textId="77777777" w:rsidR="00C14193" w:rsidRDefault="00C14193" w:rsidP="00C14193">
      <w:pPr>
        <w:rPr>
          <w:b/>
          <w:bCs/>
          <w:sz w:val="24"/>
          <w:szCs w:val="24"/>
        </w:rPr>
      </w:pPr>
    </w:p>
    <w:p w14:paraId="30DDE70F" w14:textId="77777777" w:rsidR="00C14193" w:rsidRDefault="00C14193" w:rsidP="00C14193">
      <w:pPr>
        <w:rPr>
          <w:b/>
          <w:bCs/>
          <w:sz w:val="24"/>
          <w:szCs w:val="24"/>
        </w:rPr>
      </w:pPr>
    </w:p>
    <w:p w14:paraId="338610CE" w14:textId="77777777" w:rsidR="00C14193" w:rsidRDefault="00C14193" w:rsidP="00C14193">
      <w:pPr>
        <w:rPr>
          <w:b/>
          <w:bCs/>
          <w:sz w:val="24"/>
          <w:szCs w:val="24"/>
        </w:rPr>
      </w:pPr>
    </w:p>
    <w:p w14:paraId="51E48F21" w14:textId="77777777" w:rsidR="00C14193" w:rsidRDefault="00C14193" w:rsidP="00C14193">
      <w:pPr>
        <w:rPr>
          <w:b/>
          <w:bCs/>
          <w:sz w:val="24"/>
          <w:szCs w:val="24"/>
        </w:rPr>
      </w:pPr>
    </w:p>
    <w:p w14:paraId="4E2EAF4F" w14:textId="77777777" w:rsidR="00C14193" w:rsidRDefault="00C14193" w:rsidP="00C14193">
      <w:pPr>
        <w:rPr>
          <w:b/>
          <w:bCs/>
          <w:sz w:val="24"/>
          <w:szCs w:val="24"/>
        </w:rPr>
      </w:pPr>
    </w:p>
    <w:p w14:paraId="6578D662" w14:textId="4853B40A" w:rsidR="00C14193" w:rsidRPr="00C14193" w:rsidRDefault="00C14193" w:rsidP="00C14193">
      <w:pPr>
        <w:rPr>
          <w:b/>
          <w:bCs/>
          <w:sz w:val="24"/>
          <w:szCs w:val="24"/>
        </w:rPr>
      </w:pPr>
      <w:r>
        <w:rPr>
          <w:b/>
          <w:bCs/>
          <w:sz w:val="24"/>
          <w:szCs w:val="24"/>
        </w:rPr>
        <w:lastRenderedPageBreak/>
        <w:t>1</w:t>
      </w:r>
      <w:r w:rsidRPr="00C14193">
        <w:rPr>
          <w:b/>
          <w:bCs/>
          <w:sz w:val="24"/>
          <w:szCs w:val="24"/>
        </w:rPr>
        <w:t>. Support Levels</w:t>
      </w:r>
    </w:p>
    <w:p w14:paraId="67C56902" w14:textId="77777777" w:rsidR="00C14193" w:rsidRPr="00C14193" w:rsidRDefault="00C14193" w:rsidP="00C14193">
      <w:pPr>
        <w:numPr>
          <w:ilvl w:val="0"/>
          <w:numId w:val="3"/>
        </w:numPr>
        <w:rPr>
          <w:sz w:val="24"/>
          <w:szCs w:val="24"/>
        </w:rPr>
      </w:pPr>
      <w:r w:rsidRPr="00C14193">
        <w:rPr>
          <w:b/>
          <w:bCs/>
          <w:sz w:val="24"/>
          <w:szCs w:val="24"/>
        </w:rPr>
        <w:t>Observation:</w:t>
      </w:r>
      <w:r w:rsidRPr="00C14193">
        <w:rPr>
          <w:sz w:val="24"/>
          <w:szCs w:val="24"/>
        </w:rPr>
        <w:t xml:space="preserve"> The chart shows some clear support levels around INR 740, which the price has tested a few times.</w:t>
      </w:r>
    </w:p>
    <w:p w14:paraId="1B5A51CA" w14:textId="77777777" w:rsidR="00C14193" w:rsidRDefault="00C14193" w:rsidP="00C14193">
      <w:pPr>
        <w:numPr>
          <w:ilvl w:val="0"/>
          <w:numId w:val="3"/>
        </w:numPr>
        <w:rPr>
          <w:sz w:val="24"/>
          <w:szCs w:val="24"/>
        </w:rPr>
      </w:pPr>
      <w:r w:rsidRPr="00C14193">
        <w:rPr>
          <w:b/>
          <w:bCs/>
          <w:sz w:val="24"/>
          <w:szCs w:val="24"/>
        </w:rPr>
        <w:t>Interpretation:</w:t>
      </w:r>
      <w:r w:rsidRPr="00C14193">
        <w:rPr>
          <w:sz w:val="24"/>
          <w:szCs w:val="24"/>
        </w:rPr>
        <w:t xml:space="preserve"> Strong support levels indicate that the share price is unlikely to fall below this point without a significant negative catalyst. Investors may see this as a good entry point if the price stays above this level.</w:t>
      </w:r>
    </w:p>
    <w:p w14:paraId="5992F749" w14:textId="247591A9" w:rsidR="00C14193" w:rsidRPr="00C14193" w:rsidRDefault="00C14193" w:rsidP="00C14193">
      <w:pPr>
        <w:rPr>
          <w:b/>
          <w:bCs/>
          <w:sz w:val="24"/>
          <w:szCs w:val="24"/>
        </w:rPr>
      </w:pPr>
      <w:r>
        <w:rPr>
          <w:b/>
          <w:bCs/>
          <w:sz w:val="24"/>
          <w:szCs w:val="24"/>
        </w:rPr>
        <w:t>2</w:t>
      </w:r>
      <w:r w:rsidRPr="00C14193">
        <w:rPr>
          <w:b/>
          <w:bCs/>
          <w:sz w:val="24"/>
          <w:szCs w:val="24"/>
        </w:rPr>
        <w:t>. Uptrend Since Early 2024</w:t>
      </w:r>
    </w:p>
    <w:p w14:paraId="76259431" w14:textId="77777777" w:rsidR="00C14193" w:rsidRPr="00C14193" w:rsidRDefault="00C14193" w:rsidP="00C14193">
      <w:pPr>
        <w:numPr>
          <w:ilvl w:val="0"/>
          <w:numId w:val="4"/>
        </w:numPr>
        <w:rPr>
          <w:sz w:val="24"/>
          <w:szCs w:val="24"/>
        </w:rPr>
      </w:pPr>
      <w:r w:rsidRPr="00C14193">
        <w:rPr>
          <w:b/>
          <w:bCs/>
          <w:sz w:val="24"/>
          <w:szCs w:val="24"/>
        </w:rPr>
        <w:t>Observation:</w:t>
      </w:r>
      <w:r w:rsidRPr="00C14193">
        <w:rPr>
          <w:sz w:val="24"/>
          <w:szCs w:val="24"/>
        </w:rPr>
        <w:t xml:space="preserve"> The chart shows a significant uptrend starting from late 2023 through early 2024, indicating that the share price has been steadily increasing.</w:t>
      </w:r>
    </w:p>
    <w:p w14:paraId="1AB3127D" w14:textId="77777777" w:rsidR="00C14193" w:rsidRPr="00C14193" w:rsidRDefault="00C14193" w:rsidP="00C14193">
      <w:pPr>
        <w:numPr>
          <w:ilvl w:val="0"/>
          <w:numId w:val="4"/>
        </w:numPr>
        <w:rPr>
          <w:sz w:val="24"/>
          <w:szCs w:val="24"/>
        </w:rPr>
      </w:pPr>
      <w:r w:rsidRPr="00C14193">
        <w:rPr>
          <w:b/>
          <w:bCs/>
          <w:sz w:val="24"/>
          <w:szCs w:val="24"/>
        </w:rPr>
        <w:t>Interpretation:</w:t>
      </w:r>
      <w:r w:rsidRPr="00C14193">
        <w:rPr>
          <w:sz w:val="24"/>
          <w:szCs w:val="24"/>
        </w:rPr>
        <w:t xml:space="preserve"> This suggests growing investor confidence and possibly improving fundamentals in Tata Motors during this period.</w:t>
      </w:r>
    </w:p>
    <w:p w14:paraId="5B4A9C2C" w14:textId="3AC7E675" w:rsidR="00C14193" w:rsidRPr="00C14193" w:rsidRDefault="00C14193" w:rsidP="00C14193">
      <w:pPr>
        <w:rPr>
          <w:b/>
          <w:bCs/>
          <w:sz w:val="24"/>
          <w:szCs w:val="24"/>
        </w:rPr>
      </w:pPr>
      <w:r>
        <w:rPr>
          <w:b/>
          <w:bCs/>
          <w:sz w:val="24"/>
          <w:szCs w:val="24"/>
        </w:rPr>
        <w:t>3</w:t>
      </w:r>
      <w:r w:rsidRPr="00C14193">
        <w:rPr>
          <w:b/>
          <w:bCs/>
          <w:sz w:val="24"/>
          <w:szCs w:val="24"/>
        </w:rPr>
        <w:t>. Period of Consolidation</w:t>
      </w:r>
    </w:p>
    <w:p w14:paraId="58561FC5" w14:textId="77777777" w:rsidR="00C14193" w:rsidRPr="00C14193" w:rsidRDefault="00C14193" w:rsidP="00C14193">
      <w:pPr>
        <w:numPr>
          <w:ilvl w:val="0"/>
          <w:numId w:val="5"/>
        </w:numPr>
        <w:rPr>
          <w:sz w:val="24"/>
          <w:szCs w:val="24"/>
        </w:rPr>
      </w:pPr>
      <w:r w:rsidRPr="00C14193">
        <w:rPr>
          <w:b/>
          <w:bCs/>
          <w:sz w:val="24"/>
          <w:szCs w:val="24"/>
        </w:rPr>
        <w:t>Observation:</w:t>
      </w:r>
      <w:r w:rsidRPr="00C14193">
        <w:rPr>
          <w:sz w:val="24"/>
          <w:szCs w:val="24"/>
        </w:rPr>
        <w:t xml:space="preserve"> After a steady rise, the price has moved into a phase of consolidation, particularly visible in June and July 2024.</w:t>
      </w:r>
    </w:p>
    <w:p w14:paraId="0A2AEBF3" w14:textId="40BC7F92" w:rsidR="00C14193" w:rsidRPr="00C14193" w:rsidRDefault="00C14193" w:rsidP="00C14193">
      <w:pPr>
        <w:numPr>
          <w:ilvl w:val="0"/>
          <w:numId w:val="5"/>
        </w:numPr>
        <w:rPr>
          <w:sz w:val="24"/>
          <w:szCs w:val="24"/>
        </w:rPr>
      </w:pPr>
      <w:r w:rsidRPr="00C14193">
        <w:rPr>
          <w:b/>
          <w:bCs/>
          <w:sz w:val="24"/>
          <w:szCs w:val="24"/>
        </w:rPr>
        <w:t>Interpretation:</w:t>
      </w:r>
      <w:r w:rsidRPr="00C14193">
        <w:rPr>
          <w:sz w:val="24"/>
          <w:szCs w:val="24"/>
        </w:rPr>
        <w:t xml:space="preserve"> Consolidation is a common phenomenon after a strong uptrend. It indicates that the market is taking a breather and investors are re-evaluating before the next big move. This could be due to uncertainty or profit-taking by earlier investors</w:t>
      </w:r>
    </w:p>
    <w:p w14:paraId="047E80D8" w14:textId="77777777" w:rsidR="00C14193" w:rsidRPr="001D7B48" w:rsidRDefault="00C14193" w:rsidP="0079128C">
      <w:pPr>
        <w:rPr>
          <w:sz w:val="24"/>
          <w:szCs w:val="24"/>
        </w:rPr>
      </w:pPr>
    </w:p>
    <w:sectPr w:rsidR="00C14193" w:rsidRPr="001D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56CB3"/>
    <w:multiLevelType w:val="multilevel"/>
    <w:tmpl w:val="DEC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F3B17"/>
    <w:multiLevelType w:val="multilevel"/>
    <w:tmpl w:val="23F2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F770A"/>
    <w:multiLevelType w:val="multilevel"/>
    <w:tmpl w:val="11D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450B7"/>
    <w:multiLevelType w:val="multilevel"/>
    <w:tmpl w:val="888A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0332D"/>
    <w:multiLevelType w:val="multilevel"/>
    <w:tmpl w:val="11A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36241">
    <w:abstractNumId w:val="1"/>
  </w:num>
  <w:num w:numId="2" w16cid:durableId="864640317">
    <w:abstractNumId w:val="3"/>
  </w:num>
  <w:num w:numId="3" w16cid:durableId="250508536">
    <w:abstractNumId w:val="0"/>
  </w:num>
  <w:num w:numId="4" w16cid:durableId="1192298900">
    <w:abstractNumId w:val="2"/>
  </w:num>
  <w:num w:numId="5" w16cid:durableId="1701857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24"/>
    <w:rsid w:val="00014C24"/>
    <w:rsid w:val="001D7B48"/>
    <w:rsid w:val="00283D0C"/>
    <w:rsid w:val="00434DB4"/>
    <w:rsid w:val="004D17BF"/>
    <w:rsid w:val="005D7C94"/>
    <w:rsid w:val="0079128C"/>
    <w:rsid w:val="009554F6"/>
    <w:rsid w:val="00AE62A1"/>
    <w:rsid w:val="00C1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CEB5"/>
  <w15:chartTrackingRefBased/>
  <w15:docId w15:val="{39DF3202-5B4D-48C2-A7CB-242B5D61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2A1"/>
    <w:rPr>
      <w:color w:val="0563C1" w:themeColor="hyperlink"/>
      <w:u w:val="single"/>
    </w:rPr>
  </w:style>
  <w:style w:type="character" w:styleId="UnresolvedMention">
    <w:name w:val="Unresolved Mention"/>
    <w:basedOn w:val="DefaultParagraphFont"/>
    <w:uiPriority w:val="99"/>
    <w:semiHidden/>
    <w:unhideWhenUsed/>
    <w:rsid w:val="00AE62A1"/>
    <w:rPr>
      <w:color w:val="605E5C"/>
      <w:shd w:val="clear" w:color="auto" w:fill="E1DFDD"/>
    </w:rPr>
  </w:style>
  <w:style w:type="paragraph" w:styleId="NormalWeb">
    <w:name w:val="Normal (Web)"/>
    <w:basedOn w:val="Normal"/>
    <w:uiPriority w:val="99"/>
    <w:semiHidden/>
    <w:unhideWhenUsed/>
    <w:rsid w:val="007912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128C"/>
    <w:rPr>
      <w:b/>
      <w:bCs/>
    </w:rPr>
  </w:style>
  <w:style w:type="character" w:customStyle="1" w:styleId="text-token-text-secondary">
    <w:name w:val="text-token-text-secondary"/>
    <w:basedOn w:val="DefaultParagraphFont"/>
    <w:rsid w:val="0079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0581">
      <w:bodyDiv w:val="1"/>
      <w:marLeft w:val="0"/>
      <w:marRight w:val="0"/>
      <w:marTop w:val="0"/>
      <w:marBottom w:val="0"/>
      <w:divBdr>
        <w:top w:val="none" w:sz="0" w:space="0" w:color="auto"/>
        <w:left w:val="none" w:sz="0" w:space="0" w:color="auto"/>
        <w:bottom w:val="none" w:sz="0" w:space="0" w:color="auto"/>
        <w:right w:val="none" w:sz="0" w:space="0" w:color="auto"/>
      </w:divBdr>
    </w:div>
    <w:div w:id="90319637">
      <w:bodyDiv w:val="1"/>
      <w:marLeft w:val="0"/>
      <w:marRight w:val="0"/>
      <w:marTop w:val="0"/>
      <w:marBottom w:val="0"/>
      <w:divBdr>
        <w:top w:val="none" w:sz="0" w:space="0" w:color="auto"/>
        <w:left w:val="none" w:sz="0" w:space="0" w:color="auto"/>
        <w:bottom w:val="none" w:sz="0" w:space="0" w:color="auto"/>
        <w:right w:val="none" w:sz="0" w:space="0" w:color="auto"/>
      </w:divBdr>
    </w:div>
    <w:div w:id="358703853">
      <w:bodyDiv w:val="1"/>
      <w:marLeft w:val="0"/>
      <w:marRight w:val="0"/>
      <w:marTop w:val="0"/>
      <w:marBottom w:val="0"/>
      <w:divBdr>
        <w:top w:val="none" w:sz="0" w:space="0" w:color="auto"/>
        <w:left w:val="none" w:sz="0" w:space="0" w:color="auto"/>
        <w:bottom w:val="none" w:sz="0" w:space="0" w:color="auto"/>
        <w:right w:val="none" w:sz="0" w:space="0" w:color="auto"/>
      </w:divBdr>
    </w:div>
    <w:div w:id="583563901">
      <w:bodyDiv w:val="1"/>
      <w:marLeft w:val="0"/>
      <w:marRight w:val="0"/>
      <w:marTop w:val="0"/>
      <w:marBottom w:val="0"/>
      <w:divBdr>
        <w:top w:val="none" w:sz="0" w:space="0" w:color="auto"/>
        <w:left w:val="none" w:sz="0" w:space="0" w:color="auto"/>
        <w:bottom w:val="none" w:sz="0" w:space="0" w:color="auto"/>
        <w:right w:val="none" w:sz="0" w:space="0" w:color="auto"/>
      </w:divBdr>
    </w:div>
    <w:div w:id="875122170">
      <w:bodyDiv w:val="1"/>
      <w:marLeft w:val="0"/>
      <w:marRight w:val="0"/>
      <w:marTop w:val="0"/>
      <w:marBottom w:val="0"/>
      <w:divBdr>
        <w:top w:val="none" w:sz="0" w:space="0" w:color="auto"/>
        <w:left w:val="none" w:sz="0" w:space="0" w:color="auto"/>
        <w:bottom w:val="none" w:sz="0" w:space="0" w:color="auto"/>
        <w:right w:val="none" w:sz="0" w:space="0" w:color="auto"/>
      </w:divBdr>
    </w:div>
    <w:div w:id="995458322">
      <w:bodyDiv w:val="1"/>
      <w:marLeft w:val="0"/>
      <w:marRight w:val="0"/>
      <w:marTop w:val="0"/>
      <w:marBottom w:val="0"/>
      <w:divBdr>
        <w:top w:val="none" w:sz="0" w:space="0" w:color="auto"/>
        <w:left w:val="none" w:sz="0" w:space="0" w:color="auto"/>
        <w:bottom w:val="none" w:sz="0" w:space="0" w:color="auto"/>
        <w:right w:val="none" w:sz="0" w:space="0" w:color="auto"/>
      </w:divBdr>
    </w:div>
    <w:div w:id="1279526080">
      <w:bodyDiv w:val="1"/>
      <w:marLeft w:val="0"/>
      <w:marRight w:val="0"/>
      <w:marTop w:val="0"/>
      <w:marBottom w:val="0"/>
      <w:divBdr>
        <w:top w:val="none" w:sz="0" w:space="0" w:color="auto"/>
        <w:left w:val="none" w:sz="0" w:space="0" w:color="auto"/>
        <w:bottom w:val="none" w:sz="0" w:space="0" w:color="auto"/>
        <w:right w:val="none" w:sz="0" w:space="0" w:color="auto"/>
      </w:divBdr>
    </w:div>
    <w:div w:id="1573655155">
      <w:bodyDiv w:val="1"/>
      <w:marLeft w:val="0"/>
      <w:marRight w:val="0"/>
      <w:marTop w:val="0"/>
      <w:marBottom w:val="0"/>
      <w:divBdr>
        <w:top w:val="none" w:sz="0" w:space="0" w:color="auto"/>
        <w:left w:val="none" w:sz="0" w:space="0" w:color="auto"/>
        <w:bottom w:val="none" w:sz="0" w:space="0" w:color="auto"/>
        <w:right w:val="none" w:sz="0" w:space="0" w:color="auto"/>
      </w:divBdr>
    </w:div>
    <w:div w:id="17351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D907-B5E1-4B5A-8DC0-80B0AC85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Saha</dc:creator>
  <cp:keywords/>
  <dc:description/>
  <cp:lastModifiedBy>Rohit Saha</cp:lastModifiedBy>
  <cp:revision>2</cp:revision>
  <dcterms:created xsi:type="dcterms:W3CDTF">2024-08-21T10:31:00Z</dcterms:created>
  <dcterms:modified xsi:type="dcterms:W3CDTF">2024-08-21T10:31:00Z</dcterms:modified>
</cp:coreProperties>
</file>