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2619" w14:textId="77777777" w:rsidR="003752ED" w:rsidRDefault="00000000">
      <w:pPr>
        <w:spacing w:before="2000"/>
        <w:jc w:val="center"/>
      </w:pPr>
      <w:r>
        <w:rPr>
          <w:b/>
          <w:bCs/>
          <w:color w:val="4A6FA5"/>
          <w:sz w:val="30"/>
          <w:szCs w:val="30"/>
        </w:rPr>
        <w:t xml:space="preserve">Command </w:t>
      </w:r>
      <w:proofErr w:type="spellStart"/>
      <w:r>
        <w:rPr>
          <w:b/>
          <w:bCs/>
          <w:color w:val="4A6FA5"/>
          <w:sz w:val="30"/>
          <w:szCs w:val="30"/>
        </w:rPr>
        <w:t>Center</w:t>
      </w:r>
      <w:proofErr w:type="spellEnd"/>
    </w:p>
    <w:p w14:paraId="0ED9713A" w14:textId="77777777" w:rsidR="003752ED" w:rsidRDefault="00000000">
      <w:pPr>
        <w:spacing w:before="200"/>
        <w:jc w:val="center"/>
      </w:pPr>
      <w:r>
        <w:rPr>
          <w:b/>
          <w:bCs/>
          <w:color w:val="1A2F5C"/>
          <w:sz w:val="52"/>
          <w:szCs w:val="52"/>
        </w:rPr>
        <w:t>Application Layer Architecture</w:t>
      </w:r>
    </w:p>
    <w:p w14:paraId="46D97BA9" w14:textId="77777777" w:rsidR="003752ED" w:rsidRDefault="00000000">
      <w:pPr>
        <w:spacing w:before="200"/>
        <w:jc w:val="center"/>
      </w:pPr>
      <w:r>
        <w:rPr>
          <w:i/>
          <w:iCs/>
          <w:color w:val="2E5395"/>
          <w:sz w:val="26"/>
          <w:szCs w:val="26"/>
        </w:rPr>
        <w:t xml:space="preserve">Architecture Approach, Design Principles, Considerations &amp; </w:t>
      </w:r>
      <w:proofErr w:type="spellStart"/>
      <w:r>
        <w:rPr>
          <w:i/>
          <w:iCs/>
          <w:color w:val="2E5395"/>
          <w:sz w:val="26"/>
          <w:szCs w:val="26"/>
        </w:rPr>
        <w:t>Tradeoffs</w:t>
      </w:r>
      <w:proofErr w:type="spellEnd"/>
    </w:p>
    <w:p w14:paraId="2069E813" w14:textId="77777777" w:rsidR="003752ED" w:rsidRDefault="00000000">
      <w:pPr>
        <w:spacing w:before="1200"/>
        <w:jc w:val="center"/>
      </w:pPr>
      <w:r>
        <w:rPr>
          <w:sz w:val="22"/>
          <w:szCs w:val="22"/>
        </w:rPr>
        <w:t xml:space="preserve">Frontend (React / </w:t>
      </w:r>
      <w:proofErr w:type="gramStart"/>
      <w:r>
        <w:rPr>
          <w:sz w:val="22"/>
          <w:szCs w:val="22"/>
        </w:rPr>
        <w:t>TypeScript)  +</w:t>
      </w:r>
      <w:proofErr w:type="gramEnd"/>
      <w:r>
        <w:rPr>
          <w:sz w:val="22"/>
          <w:szCs w:val="22"/>
        </w:rPr>
        <w:t xml:space="preserve">  Backend (Python)</w:t>
      </w:r>
    </w:p>
    <w:p w14:paraId="19F8E70A" w14:textId="77777777" w:rsidR="003752ED" w:rsidRDefault="00000000">
      <w:pPr>
        <w:spacing w:before="3200"/>
        <w:jc w:val="center"/>
      </w:pPr>
      <w:r>
        <w:rPr>
          <w:color w:val="4A6FA5"/>
          <w:sz w:val="20"/>
          <w:szCs w:val="20"/>
        </w:rPr>
        <w:t>Reference Document for Application Architecture Standards</w:t>
      </w:r>
    </w:p>
    <w:p w14:paraId="7CC41EB4" w14:textId="77777777" w:rsidR="003752ED" w:rsidRDefault="00000000">
      <w:r>
        <w:br w:type="page"/>
      </w:r>
    </w:p>
    <w:p w14:paraId="0ADAE8D0" w14:textId="77777777" w:rsidR="003752ED" w:rsidRDefault="003752ED">
      <w:pPr>
        <w:sectPr w:rsidR="003752ED">
          <w:pgSz w:w="12240" w:h="15840"/>
          <w:pgMar w:top="1080" w:right="1080" w:bottom="1080" w:left="1080" w:header="708" w:footer="708" w:gutter="0"/>
          <w:cols w:space="720"/>
          <w:docGrid w:linePitch="360"/>
        </w:sectPr>
      </w:pPr>
    </w:p>
    <w:p w14:paraId="0B222C23" w14:textId="77777777" w:rsidR="003752ED" w:rsidRDefault="00000000">
      <w:pPr>
        <w:pStyle w:val="Heading1"/>
        <w:pBdr>
          <w:bottom w:val="single" w:sz="8" w:space="4" w:color="2E5395"/>
        </w:pBdr>
        <w:spacing w:before="480" w:after="200"/>
      </w:pPr>
      <w:r>
        <w:rPr>
          <w:b/>
          <w:bCs/>
          <w:color w:val="1A2F5C"/>
        </w:rPr>
        <w:lastRenderedPageBreak/>
        <w:t>Purpose &amp; Scope</w:t>
      </w:r>
    </w:p>
    <w:p w14:paraId="3903F383" w14:textId="77777777" w:rsidR="003752ED" w:rsidRDefault="00000000">
      <w:pPr>
        <w:spacing w:after="160" w:line="276" w:lineRule="auto"/>
      </w:pPr>
      <w:r>
        <w:t xml:space="preserve">This document defines the application-layer architecture approach followed for the Command </w:t>
      </w:r>
      <w:proofErr w:type="spellStart"/>
      <w:r>
        <w:t>Center</w:t>
      </w:r>
      <w:proofErr w:type="spellEnd"/>
      <w:r>
        <w:t>, covering both the frontend (React/TypeScript) client and the backend (Python) services. The intent is to provide a reusable reference pattern that future projects can follow when building client-server applications on this stack.</w:t>
      </w:r>
    </w:p>
    <w:p w14:paraId="67A1B64A" w14:textId="77777777" w:rsidR="003752ED" w:rsidRDefault="00000000">
      <w:pPr>
        <w:spacing w:after="160" w:line="276" w:lineRule="auto"/>
      </w:pPr>
      <w:r>
        <w:t>The goal is to ensure that every application built on this stack is consistent, modular, secure, observable, and maintainable — regardless of which team builds it or which specific business domain it serves.</w:t>
      </w:r>
    </w:p>
    <w:p w14:paraId="41DB1C95" w14:textId="77777777" w:rsidR="003752ED" w:rsidRDefault="00000000">
      <w:pPr>
        <w:spacing w:after="160" w:line="276" w:lineRule="auto"/>
      </w:pPr>
      <w:r>
        <w:t xml:space="preserve">The Command </w:t>
      </w:r>
      <w:proofErr w:type="spellStart"/>
      <w:r>
        <w:t>Center</w:t>
      </w:r>
      <w:proofErr w:type="spellEnd"/>
      <w:r>
        <w:t xml:space="preserve"> is used as the reference implementation for this pattern. Other applications should reuse the same layering, naming conventions, folder structure, and cross-cutting standards, but they do not need to reuse the same repository, environment, or hosting configuration as the Command </w:t>
      </w:r>
      <w:proofErr w:type="spellStart"/>
      <w:r>
        <w:t>Center</w:t>
      </w:r>
      <w:proofErr w:type="spellEnd"/>
      <w:r>
        <w:t>.</w:t>
      </w:r>
    </w:p>
    <w:p w14:paraId="0DE468F5" w14:textId="77777777" w:rsidR="003752ED" w:rsidRDefault="00000000">
      <w:pPr>
        <w:pBdr>
          <w:left w:val="single" w:sz="18" w:space="8" w:color="2E5395"/>
        </w:pBdr>
        <w:shd w:val="clear" w:color="auto" w:fill="F4F6FB"/>
        <w:spacing w:before="120" w:after="200"/>
        <w:ind w:left="200"/>
      </w:pPr>
      <w:r>
        <w:rPr>
          <w:i/>
          <w:iCs/>
          <w:color w:val="4A6FA5"/>
          <w:sz w:val="20"/>
          <w:szCs w:val="20"/>
        </w:rPr>
        <w:t>Standard: Reuse the architecture pattern, layering, and engineering conventions — not necessarily the same physical repository or environment.</w:t>
      </w:r>
    </w:p>
    <w:p w14:paraId="0E9B36E7" w14:textId="77777777" w:rsidR="003752ED" w:rsidRDefault="00000000">
      <w:r>
        <w:br w:type="page"/>
      </w:r>
    </w:p>
    <w:p w14:paraId="739602B9" w14:textId="77777777" w:rsidR="003752ED" w:rsidRDefault="00000000">
      <w:pPr>
        <w:pStyle w:val="Heading1"/>
        <w:pBdr>
          <w:bottom w:val="single" w:sz="8" w:space="4" w:color="2E5395"/>
        </w:pBdr>
        <w:spacing w:before="480" w:after="200"/>
      </w:pPr>
      <w:r>
        <w:rPr>
          <w:b/>
          <w:bCs/>
          <w:color w:val="1A2F5C"/>
        </w:rPr>
        <w:lastRenderedPageBreak/>
        <w:t>1.  Architecture Approach</w:t>
      </w:r>
    </w:p>
    <w:p w14:paraId="5CF365FF" w14:textId="77777777" w:rsidR="003752ED" w:rsidRDefault="00000000">
      <w:pPr>
        <w:spacing w:after="160" w:line="276" w:lineRule="auto"/>
      </w:pPr>
      <w:r>
        <w:t xml:space="preserve">The Command </w:t>
      </w:r>
      <w:proofErr w:type="spellStart"/>
      <w:r>
        <w:t>Center</w:t>
      </w:r>
      <w:proofErr w:type="spellEnd"/>
      <w:r>
        <w:t xml:space="preserve"> follows a layered client-server architecture. The frontend is a React/TypeScript single-page application; the backend is a Python service exposing an API layer, an agent/orchestration layer, and a data access layer. Each side is organized so that responsibilities are isolated into predictable, single-purpose folders.</w:t>
      </w:r>
    </w:p>
    <w:p w14:paraId="009CCBF8" w14:textId="77777777" w:rsidR="003752ED" w:rsidRDefault="00000000">
      <w:pPr>
        <w:pStyle w:val="Heading2"/>
        <w:spacing w:before="320" w:after="140"/>
      </w:pPr>
      <w:proofErr w:type="gramStart"/>
      <w:r>
        <w:rPr>
          <w:b/>
          <w:bCs/>
          <w:color w:val="2E5395"/>
          <w:sz w:val="25"/>
          <w:szCs w:val="25"/>
        </w:rPr>
        <w:t>1.1  Reference</w:t>
      </w:r>
      <w:proofErr w:type="gramEnd"/>
      <w:r>
        <w:rPr>
          <w:b/>
          <w:bCs/>
          <w:color w:val="2E5395"/>
          <w:sz w:val="25"/>
          <w:szCs w:val="25"/>
        </w:rPr>
        <w:t xml:space="preserve"> Application Architecture Pattern</w:t>
      </w:r>
    </w:p>
    <w:p w14:paraId="1A49A4E4" w14:textId="77777777" w:rsidR="003752ED" w:rsidRDefault="00000000">
      <w:pPr>
        <w:spacing w:after="160" w:line="276" w:lineRule="auto"/>
      </w:pPr>
      <w:r>
        <w:t>At a high level, a request flows through the following logical layers:</w:t>
      </w:r>
    </w:p>
    <w:p w14:paraId="1647705C" w14:textId="77777777" w:rsidR="003752ED" w:rsidRDefault="00000000">
      <w:pPr>
        <w:pStyle w:val="ListParagraph"/>
        <w:numPr>
          <w:ilvl w:val="0"/>
          <w:numId w:val="2"/>
        </w:numPr>
        <w:spacing w:after="100"/>
      </w:pPr>
      <w:r>
        <w:rPr>
          <w:b/>
          <w:bCs/>
          <w:color w:val="1A2F5C"/>
        </w:rPr>
        <w:t xml:space="preserve">Client / Presentation — </w:t>
      </w:r>
      <w:r>
        <w:t>React components and pages render the UI and capture user interaction.</w:t>
      </w:r>
    </w:p>
    <w:p w14:paraId="4DAE3ADF" w14:textId="77777777" w:rsidR="003752ED" w:rsidRDefault="00000000">
      <w:pPr>
        <w:pStyle w:val="ListParagraph"/>
        <w:numPr>
          <w:ilvl w:val="0"/>
          <w:numId w:val="2"/>
        </w:numPr>
        <w:spacing w:after="100"/>
      </w:pPr>
      <w:r>
        <w:rPr>
          <w:b/>
          <w:bCs/>
          <w:color w:val="1A2F5C"/>
        </w:rPr>
        <w:t xml:space="preserve">Client API Layer — </w:t>
      </w:r>
      <w:r>
        <w:t>Encapsulates all HTTP calls to the backend; no component should call fetch/</w:t>
      </w:r>
      <w:proofErr w:type="spellStart"/>
      <w:r>
        <w:t>axios</w:t>
      </w:r>
      <w:proofErr w:type="spellEnd"/>
      <w:r>
        <w:t xml:space="preserve"> directly.</w:t>
      </w:r>
    </w:p>
    <w:p w14:paraId="30155D1C" w14:textId="77777777" w:rsidR="003752ED" w:rsidRDefault="00000000">
      <w:pPr>
        <w:pStyle w:val="ListParagraph"/>
        <w:numPr>
          <w:ilvl w:val="0"/>
          <w:numId w:val="2"/>
        </w:numPr>
        <w:spacing w:after="100"/>
      </w:pPr>
      <w:r>
        <w:rPr>
          <w:b/>
          <w:bCs/>
          <w:color w:val="1A2F5C"/>
        </w:rPr>
        <w:t xml:space="preserve">Client State Layer — </w:t>
      </w:r>
      <w:r>
        <w:t>Holds application state (store) so UI state is predictable and shareable across features.</w:t>
      </w:r>
    </w:p>
    <w:p w14:paraId="3EA1C01B" w14:textId="77777777" w:rsidR="003752ED" w:rsidRDefault="00000000">
      <w:pPr>
        <w:pStyle w:val="ListParagraph"/>
        <w:numPr>
          <w:ilvl w:val="0"/>
          <w:numId w:val="2"/>
        </w:numPr>
        <w:spacing w:after="100"/>
      </w:pPr>
      <w:r>
        <w:rPr>
          <w:b/>
          <w:bCs/>
          <w:color w:val="1A2F5C"/>
        </w:rPr>
        <w:t xml:space="preserve">Backend API / Routing — </w:t>
      </w:r>
      <w:r>
        <w:t>Receives HTTP requests, validates input, and delegates to the service/agent layer.</w:t>
      </w:r>
    </w:p>
    <w:p w14:paraId="5E53A9D8" w14:textId="77777777" w:rsidR="003752ED" w:rsidRDefault="00000000">
      <w:pPr>
        <w:pStyle w:val="ListParagraph"/>
        <w:numPr>
          <w:ilvl w:val="0"/>
          <w:numId w:val="2"/>
        </w:numPr>
        <w:spacing w:after="100"/>
      </w:pPr>
      <w:r>
        <w:rPr>
          <w:b/>
          <w:bCs/>
          <w:color w:val="1A2F5C"/>
        </w:rPr>
        <w:t xml:space="preserve">Backend Service / Agent Layer — </w:t>
      </w:r>
      <w:r>
        <w:t xml:space="preserve">Contains business logic and, for the Command </w:t>
      </w:r>
      <w:proofErr w:type="spellStart"/>
      <w:r>
        <w:t>Center</w:t>
      </w:r>
      <w:proofErr w:type="spellEnd"/>
      <w:r>
        <w:t>, agentic/orchestration workflows.</w:t>
      </w:r>
    </w:p>
    <w:p w14:paraId="4AA79BBC" w14:textId="77777777" w:rsidR="003752ED" w:rsidRDefault="00000000">
      <w:pPr>
        <w:pStyle w:val="ListParagraph"/>
        <w:numPr>
          <w:ilvl w:val="0"/>
          <w:numId w:val="2"/>
        </w:numPr>
        <w:spacing w:after="100"/>
      </w:pPr>
      <w:r>
        <w:rPr>
          <w:b/>
          <w:bCs/>
          <w:color w:val="1A2F5C"/>
        </w:rPr>
        <w:t xml:space="preserve">Backend Repository Layer — </w:t>
      </w:r>
      <w:r>
        <w:t>Abstracts data persistence so services never talk to the database directly.</w:t>
      </w:r>
    </w:p>
    <w:p w14:paraId="1B0E5417" w14:textId="77777777" w:rsidR="003752ED" w:rsidRDefault="00000000">
      <w:pPr>
        <w:pStyle w:val="ListParagraph"/>
        <w:numPr>
          <w:ilvl w:val="0"/>
          <w:numId w:val="2"/>
        </w:numPr>
        <w:spacing w:after="100"/>
      </w:pPr>
      <w:r>
        <w:rPr>
          <w:b/>
          <w:bCs/>
          <w:color w:val="1A2F5C"/>
        </w:rPr>
        <w:t xml:space="preserve">Data Store — </w:t>
      </w:r>
      <w:r>
        <w:t>The underlying database / storage the repository layer reads from and writes to.</w:t>
      </w:r>
    </w:p>
    <w:p w14:paraId="0FBCB333" w14:textId="77777777" w:rsidR="003752ED" w:rsidRDefault="00000000">
      <w:pPr>
        <w:pStyle w:val="ListParagraph"/>
        <w:numPr>
          <w:ilvl w:val="0"/>
          <w:numId w:val="2"/>
        </w:numPr>
        <w:spacing w:after="100"/>
      </w:pPr>
      <w:r>
        <w:rPr>
          <w:b/>
          <w:bCs/>
          <w:color w:val="1A2F5C"/>
        </w:rPr>
        <w:t xml:space="preserve">Cross-cutting — </w:t>
      </w:r>
      <w:r>
        <w:t>Auth, configuration, middleware, and logging apply across every layer above.</w:t>
      </w:r>
    </w:p>
    <w:p w14:paraId="553371E2" w14:textId="77777777" w:rsidR="003752ED" w:rsidRDefault="003752ED">
      <w:pPr>
        <w:spacing w:after="160"/>
      </w:pPr>
    </w:p>
    <w:p w14:paraId="31A4DA72" w14:textId="77777777" w:rsidR="003752ED" w:rsidRDefault="00000000">
      <w:pPr>
        <w:pStyle w:val="Heading2"/>
        <w:spacing w:before="320" w:after="140"/>
      </w:pPr>
      <w:proofErr w:type="gramStart"/>
      <w:r>
        <w:rPr>
          <w:b/>
          <w:bCs/>
          <w:color w:val="2E5395"/>
          <w:sz w:val="25"/>
          <w:szCs w:val="25"/>
        </w:rPr>
        <w:t>1.2  Frontend</w:t>
      </w:r>
      <w:proofErr w:type="gramEnd"/>
      <w:r>
        <w:rPr>
          <w:b/>
          <w:bCs/>
          <w:color w:val="2E5395"/>
          <w:sz w:val="25"/>
          <w:szCs w:val="25"/>
        </w:rPr>
        <w:t xml:space="preserve"> Architecture</w:t>
      </w:r>
    </w:p>
    <w:p w14:paraId="1C5D1E1C" w14:textId="77777777" w:rsidR="003752ED" w:rsidRDefault="00000000">
      <w:pPr>
        <w:spacing w:after="160" w:line="276" w:lineRule="auto"/>
      </w:pPr>
      <w:r>
        <w:t xml:space="preserve">The frontend is built as a modular React application. Each top-level folder under </w:t>
      </w:r>
      <w:proofErr w:type="spellStart"/>
      <w:r>
        <w:t>src</w:t>
      </w:r>
      <w:proofErr w:type="spellEnd"/>
      <w:r>
        <w:t>/ owns one concern, so a feature can be extended without reaching into unrelated parts of the codebase.</w:t>
      </w:r>
    </w:p>
    <w:p w14:paraId="3B58D1B8" w14:textId="77777777" w:rsidR="003752ED" w:rsidRDefault="00000000">
      <w:pPr>
        <w:pStyle w:val="Heading3"/>
        <w:spacing w:before="220" w:after="100"/>
      </w:pPr>
      <w:r>
        <w:rPr>
          <w:b/>
          <w:bCs/>
          <w:color w:val="1A2740"/>
          <w:sz w:val="22"/>
          <w:szCs w:val="22"/>
        </w:rPr>
        <w:t>Folder Responsibilities</w:t>
      </w:r>
    </w:p>
    <w:p w14:paraId="59724680" w14:textId="77777777" w:rsidR="003752ED" w:rsidRDefault="00000000">
      <w:pPr>
        <w:pStyle w:val="ListParagraph"/>
        <w:numPr>
          <w:ilvl w:val="0"/>
          <w:numId w:val="2"/>
        </w:numPr>
        <w:spacing w:after="100"/>
      </w:pPr>
      <w:proofErr w:type="spellStart"/>
      <w:r>
        <w:rPr>
          <w:b/>
          <w:bCs/>
          <w:color w:val="1A2F5C"/>
        </w:rPr>
        <w:t>api</w:t>
      </w:r>
      <w:proofErr w:type="spellEnd"/>
      <w:r>
        <w:rPr>
          <w:b/>
          <w:bCs/>
          <w:color w:val="1A2F5C"/>
        </w:rPr>
        <w:t xml:space="preserve"> — </w:t>
      </w:r>
      <w:r>
        <w:t>Centralised API client(s) and request/response handling for backend communication.</w:t>
      </w:r>
    </w:p>
    <w:p w14:paraId="1007815B" w14:textId="77777777" w:rsidR="003752ED" w:rsidRDefault="00000000">
      <w:pPr>
        <w:pStyle w:val="ListParagraph"/>
        <w:numPr>
          <w:ilvl w:val="0"/>
          <w:numId w:val="2"/>
        </w:numPr>
        <w:spacing w:after="100"/>
      </w:pPr>
      <w:r>
        <w:rPr>
          <w:b/>
          <w:bCs/>
          <w:color w:val="1A2F5C"/>
        </w:rPr>
        <w:t xml:space="preserve">app — </w:t>
      </w:r>
      <w:r>
        <w:t>Application shell — root providers, routing, and top-level layout composition.</w:t>
      </w:r>
    </w:p>
    <w:p w14:paraId="0AFA4645" w14:textId="77777777" w:rsidR="003752ED" w:rsidRDefault="00000000">
      <w:pPr>
        <w:pStyle w:val="ListParagraph"/>
        <w:numPr>
          <w:ilvl w:val="0"/>
          <w:numId w:val="2"/>
        </w:numPr>
        <w:spacing w:after="100"/>
      </w:pPr>
      <w:r>
        <w:rPr>
          <w:b/>
          <w:bCs/>
          <w:color w:val="1A2F5C"/>
        </w:rPr>
        <w:t xml:space="preserve">assets / icons — </w:t>
      </w:r>
      <w:r>
        <w:t xml:space="preserve">Static assets such as images and icon </w:t>
      </w:r>
      <w:proofErr w:type="gramStart"/>
      <w:r>
        <w:t>sets</w:t>
      </w:r>
      <w:proofErr w:type="gramEnd"/>
      <w:r>
        <w:t>.</w:t>
      </w:r>
    </w:p>
    <w:p w14:paraId="3E66801C" w14:textId="77777777" w:rsidR="003752ED" w:rsidRDefault="00000000">
      <w:pPr>
        <w:pStyle w:val="ListParagraph"/>
        <w:numPr>
          <w:ilvl w:val="0"/>
          <w:numId w:val="2"/>
        </w:numPr>
        <w:spacing w:after="100"/>
      </w:pPr>
      <w:r>
        <w:rPr>
          <w:b/>
          <w:bCs/>
          <w:color w:val="1A2F5C"/>
        </w:rPr>
        <w:t xml:space="preserve">auth — </w:t>
      </w:r>
      <w:r>
        <w:t>Authentication state, guarded routes, and session/token handling.</w:t>
      </w:r>
    </w:p>
    <w:p w14:paraId="7D4D911A" w14:textId="77777777" w:rsidR="003752ED" w:rsidRDefault="00000000">
      <w:pPr>
        <w:pStyle w:val="ListParagraph"/>
        <w:numPr>
          <w:ilvl w:val="0"/>
          <w:numId w:val="2"/>
        </w:numPr>
        <w:spacing w:after="100"/>
      </w:pPr>
      <w:r>
        <w:rPr>
          <w:b/>
          <w:bCs/>
          <w:color w:val="1A2F5C"/>
        </w:rPr>
        <w:t xml:space="preserve">components — </w:t>
      </w:r>
      <w:r>
        <w:t>Shared, reusable presentational components used across features.</w:t>
      </w:r>
    </w:p>
    <w:p w14:paraId="23C497F8" w14:textId="77777777" w:rsidR="003752ED" w:rsidRDefault="00000000">
      <w:pPr>
        <w:pStyle w:val="ListParagraph"/>
        <w:numPr>
          <w:ilvl w:val="0"/>
          <w:numId w:val="2"/>
        </w:numPr>
        <w:spacing w:after="100"/>
      </w:pPr>
      <w:r>
        <w:rPr>
          <w:b/>
          <w:bCs/>
          <w:color w:val="1A2F5C"/>
        </w:rPr>
        <w:t xml:space="preserve">config — </w:t>
      </w:r>
      <w:r>
        <w:t>Environment-driven application configuration.</w:t>
      </w:r>
    </w:p>
    <w:p w14:paraId="4806D2F2" w14:textId="77777777" w:rsidR="003752ED" w:rsidRDefault="00000000">
      <w:pPr>
        <w:pStyle w:val="ListParagraph"/>
        <w:numPr>
          <w:ilvl w:val="0"/>
          <w:numId w:val="2"/>
        </w:numPr>
        <w:spacing w:after="100"/>
      </w:pPr>
      <w:r>
        <w:rPr>
          <w:b/>
          <w:bCs/>
          <w:color w:val="1A2F5C"/>
        </w:rPr>
        <w:t xml:space="preserve">constants — </w:t>
      </w:r>
      <w:r>
        <w:t xml:space="preserve">Static values shared across the app (routes, </w:t>
      </w:r>
      <w:proofErr w:type="spellStart"/>
      <w:r>
        <w:t>enums</w:t>
      </w:r>
      <w:proofErr w:type="spellEnd"/>
      <w:r>
        <w:t>, labels).</w:t>
      </w:r>
    </w:p>
    <w:p w14:paraId="48D75D30" w14:textId="77777777" w:rsidR="003752ED" w:rsidRDefault="00000000">
      <w:pPr>
        <w:pStyle w:val="ListParagraph"/>
        <w:numPr>
          <w:ilvl w:val="0"/>
          <w:numId w:val="2"/>
        </w:numPr>
        <w:spacing w:after="100"/>
      </w:pPr>
      <w:r>
        <w:rPr>
          <w:b/>
          <w:bCs/>
          <w:color w:val="1A2F5C"/>
        </w:rPr>
        <w:t xml:space="preserve">dummy — </w:t>
      </w:r>
      <w:r>
        <w:t>Mock/sample data used for local development and UI prototyping.</w:t>
      </w:r>
    </w:p>
    <w:p w14:paraId="091EDB06" w14:textId="77777777" w:rsidR="003752ED" w:rsidRDefault="00000000">
      <w:pPr>
        <w:pStyle w:val="ListParagraph"/>
        <w:numPr>
          <w:ilvl w:val="0"/>
          <w:numId w:val="2"/>
        </w:numPr>
        <w:spacing w:after="100"/>
      </w:pPr>
      <w:r>
        <w:rPr>
          <w:b/>
          <w:bCs/>
          <w:color w:val="1A2F5C"/>
        </w:rPr>
        <w:t xml:space="preserve">features — </w:t>
      </w:r>
      <w:r>
        <w:t>Feature-scoped modules — each business capability grouped with its own components/logic.</w:t>
      </w:r>
    </w:p>
    <w:p w14:paraId="7FC52DD2" w14:textId="77777777" w:rsidR="003752ED" w:rsidRDefault="00000000">
      <w:pPr>
        <w:pStyle w:val="ListParagraph"/>
        <w:numPr>
          <w:ilvl w:val="0"/>
          <w:numId w:val="2"/>
        </w:numPr>
        <w:spacing w:after="100"/>
      </w:pPr>
      <w:r>
        <w:rPr>
          <w:b/>
          <w:bCs/>
          <w:color w:val="1A2F5C"/>
        </w:rPr>
        <w:t xml:space="preserve">store — </w:t>
      </w:r>
      <w:r>
        <w:t>Centralised application state management.</w:t>
      </w:r>
    </w:p>
    <w:p w14:paraId="4A7BDDC8" w14:textId="77777777" w:rsidR="003752ED" w:rsidRDefault="00000000">
      <w:pPr>
        <w:pStyle w:val="ListParagraph"/>
        <w:numPr>
          <w:ilvl w:val="0"/>
          <w:numId w:val="2"/>
        </w:numPr>
        <w:spacing w:after="100"/>
      </w:pPr>
      <w:r>
        <w:rPr>
          <w:b/>
          <w:bCs/>
          <w:color w:val="1A2F5C"/>
        </w:rPr>
        <w:t xml:space="preserve">styles — </w:t>
      </w:r>
      <w:r>
        <w:t>Global styles and shared style utilities.</w:t>
      </w:r>
    </w:p>
    <w:p w14:paraId="0CF80B50" w14:textId="77777777" w:rsidR="003752ED" w:rsidRDefault="00000000">
      <w:pPr>
        <w:pStyle w:val="ListParagraph"/>
        <w:numPr>
          <w:ilvl w:val="0"/>
          <w:numId w:val="2"/>
        </w:numPr>
        <w:spacing w:after="100"/>
      </w:pPr>
      <w:r>
        <w:rPr>
          <w:b/>
          <w:bCs/>
          <w:color w:val="1A2F5C"/>
        </w:rPr>
        <w:t xml:space="preserve">tests — </w:t>
      </w:r>
      <w:r>
        <w:t>Unit and integration test suites.</w:t>
      </w:r>
    </w:p>
    <w:p w14:paraId="22D6C4BF" w14:textId="77777777" w:rsidR="003752ED" w:rsidRDefault="00000000">
      <w:pPr>
        <w:pStyle w:val="ListParagraph"/>
        <w:numPr>
          <w:ilvl w:val="0"/>
          <w:numId w:val="2"/>
        </w:numPr>
        <w:spacing w:after="100"/>
      </w:pPr>
      <w:r>
        <w:rPr>
          <w:b/>
          <w:bCs/>
          <w:color w:val="1A2F5C"/>
        </w:rPr>
        <w:t xml:space="preserve">theme — </w:t>
      </w:r>
      <w:r>
        <w:t>Design tokens — colours, typography, spacing for consistent theming.</w:t>
      </w:r>
    </w:p>
    <w:p w14:paraId="24468E35" w14:textId="77777777" w:rsidR="003752ED" w:rsidRDefault="00000000">
      <w:pPr>
        <w:pStyle w:val="ListParagraph"/>
        <w:numPr>
          <w:ilvl w:val="0"/>
          <w:numId w:val="2"/>
        </w:numPr>
        <w:spacing w:after="100"/>
      </w:pPr>
      <w:proofErr w:type="spellStart"/>
      <w:r>
        <w:rPr>
          <w:b/>
          <w:bCs/>
          <w:color w:val="1A2F5C"/>
        </w:rPr>
        <w:t>main.tsx</w:t>
      </w:r>
      <w:proofErr w:type="spellEnd"/>
      <w:r>
        <w:rPr>
          <w:b/>
          <w:bCs/>
          <w:color w:val="1A2F5C"/>
        </w:rPr>
        <w:t xml:space="preserve"> / </w:t>
      </w:r>
      <w:proofErr w:type="spellStart"/>
      <w:r>
        <w:rPr>
          <w:b/>
          <w:bCs/>
          <w:color w:val="1A2F5C"/>
        </w:rPr>
        <w:t>env.d.ts</w:t>
      </w:r>
      <w:proofErr w:type="spellEnd"/>
      <w:r>
        <w:rPr>
          <w:b/>
          <w:bCs/>
          <w:color w:val="1A2F5C"/>
        </w:rPr>
        <w:t xml:space="preserve"> — </w:t>
      </w:r>
      <w:r>
        <w:t>Application entry point and environment type declarations.</w:t>
      </w:r>
    </w:p>
    <w:p w14:paraId="41CA5149" w14:textId="77777777" w:rsidR="003752ED" w:rsidRDefault="003752ED">
      <w:pPr>
        <w:spacing w:after="160"/>
      </w:pPr>
    </w:p>
    <w:p w14:paraId="099D22AF" w14:textId="77777777" w:rsidR="003752ED" w:rsidRDefault="00000000">
      <w:pPr>
        <w:pStyle w:val="Heading2"/>
        <w:spacing w:before="320" w:after="140"/>
      </w:pPr>
      <w:proofErr w:type="gramStart"/>
      <w:r>
        <w:rPr>
          <w:b/>
          <w:bCs/>
          <w:color w:val="2E5395"/>
          <w:sz w:val="25"/>
          <w:szCs w:val="25"/>
        </w:rPr>
        <w:lastRenderedPageBreak/>
        <w:t>1.3  Backend</w:t>
      </w:r>
      <w:proofErr w:type="gramEnd"/>
      <w:r>
        <w:rPr>
          <w:b/>
          <w:bCs/>
          <w:color w:val="2E5395"/>
          <w:sz w:val="25"/>
          <w:szCs w:val="25"/>
        </w:rPr>
        <w:t xml:space="preserve"> Architecture</w:t>
      </w:r>
    </w:p>
    <w:p w14:paraId="6C4839C9" w14:textId="77777777" w:rsidR="003752ED" w:rsidRDefault="00000000">
      <w:pPr>
        <w:spacing w:after="160" w:line="276" w:lineRule="auto"/>
      </w:pPr>
      <w:r>
        <w:t>The backend is organised around a service-oriented structure that separates request handling, orchestration, business logic, and data access.</w:t>
      </w:r>
    </w:p>
    <w:p w14:paraId="29DDC649" w14:textId="77777777" w:rsidR="003752ED" w:rsidRDefault="00000000">
      <w:pPr>
        <w:pStyle w:val="Heading3"/>
        <w:spacing w:before="220" w:after="100"/>
      </w:pPr>
      <w:r>
        <w:rPr>
          <w:b/>
          <w:bCs/>
          <w:color w:val="1A2740"/>
          <w:sz w:val="22"/>
          <w:szCs w:val="22"/>
        </w:rPr>
        <w:t>Folder Responsibilities</w:t>
      </w:r>
    </w:p>
    <w:p w14:paraId="3C0CB882" w14:textId="77777777" w:rsidR="003752ED" w:rsidRDefault="00000000">
      <w:pPr>
        <w:pStyle w:val="ListParagraph"/>
        <w:numPr>
          <w:ilvl w:val="0"/>
          <w:numId w:val="2"/>
        </w:numPr>
        <w:spacing w:after="100"/>
      </w:pPr>
      <w:proofErr w:type="spellStart"/>
      <w:r>
        <w:rPr>
          <w:b/>
          <w:bCs/>
          <w:color w:val="1A2F5C"/>
        </w:rPr>
        <w:t>api</w:t>
      </w:r>
      <w:proofErr w:type="spellEnd"/>
      <w:r>
        <w:rPr>
          <w:b/>
          <w:bCs/>
          <w:color w:val="1A2F5C"/>
        </w:rPr>
        <w:t xml:space="preserve"> — </w:t>
      </w:r>
      <w:r>
        <w:t>Route/endpoint definitions — the entry point for every incoming request.</w:t>
      </w:r>
    </w:p>
    <w:p w14:paraId="4F0F32D6" w14:textId="77777777" w:rsidR="003752ED" w:rsidRDefault="00000000">
      <w:pPr>
        <w:pStyle w:val="ListParagraph"/>
        <w:numPr>
          <w:ilvl w:val="0"/>
          <w:numId w:val="2"/>
        </w:numPr>
        <w:spacing w:after="100"/>
      </w:pPr>
      <w:r>
        <w:rPr>
          <w:b/>
          <w:bCs/>
          <w:color w:val="1A2F5C"/>
        </w:rPr>
        <w:t xml:space="preserve">agents — </w:t>
      </w:r>
      <w:r>
        <w:t xml:space="preserve">Agentic/orchestration logic specific to the Command </w:t>
      </w:r>
      <w:proofErr w:type="spellStart"/>
      <w:r>
        <w:t>Center's</w:t>
      </w:r>
      <w:proofErr w:type="spellEnd"/>
      <w:r>
        <w:t xml:space="preserve"> AI-driven workflows.</w:t>
      </w:r>
    </w:p>
    <w:p w14:paraId="151E0CE4" w14:textId="77777777" w:rsidR="003752ED" w:rsidRDefault="00000000">
      <w:pPr>
        <w:pStyle w:val="ListParagraph"/>
        <w:numPr>
          <w:ilvl w:val="0"/>
          <w:numId w:val="2"/>
        </w:numPr>
        <w:spacing w:after="100"/>
      </w:pPr>
      <w:r>
        <w:rPr>
          <w:b/>
          <w:bCs/>
          <w:color w:val="1A2F5C"/>
        </w:rPr>
        <w:t xml:space="preserve">core — </w:t>
      </w:r>
      <w:r>
        <w:t>Application configuration, startup wiring, and shared infrastructure concerns.</w:t>
      </w:r>
    </w:p>
    <w:p w14:paraId="3CE155CE" w14:textId="77777777" w:rsidR="003752ED" w:rsidRDefault="00000000">
      <w:pPr>
        <w:pStyle w:val="ListParagraph"/>
        <w:numPr>
          <w:ilvl w:val="0"/>
          <w:numId w:val="2"/>
        </w:numPr>
        <w:spacing w:after="100"/>
      </w:pPr>
      <w:r>
        <w:rPr>
          <w:b/>
          <w:bCs/>
          <w:color w:val="1A2F5C"/>
        </w:rPr>
        <w:t xml:space="preserve">models — </w:t>
      </w:r>
      <w:r>
        <w:t>Request/response and data models (schema definitions).</w:t>
      </w:r>
    </w:p>
    <w:p w14:paraId="2BA5848C" w14:textId="77777777" w:rsidR="003752ED" w:rsidRDefault="00000000">
      <w:pPr>
        <w:pStyle w:val="ListParagraph"/>
        <w:numPr>
          <w:ilvl w:val="0"/>
          <w:numId w:val="2"/>
        </w:numPr>
        <w:spacing w:after="100"/>
      </w:pPr>
      <w:r>
        <w:rPr>
          <w:b/>
          <w:bCs/>
          <w:color w:val="1A2F5C"/>
        </w:rPr>
        <w:t xml:space="preserve">repositories — </w:t>
      </w:r>
      <w:r>
        <w:t>Data access layer — the only layer permitted to talk to the data store.</w:t>
      </w:r>
    </w:p>
    <w:p w14:paraId="07DAB7FE" w14:textId="77777777" w:rsidR="003752ED" w:rsidRDefault="00000000">
      <w:pPr>
        <w:pStyle w:val="ListParagraph"/>
        <w:numPr>
          <w:ilvl w:val="0"/>
          <w:numId w:val="2"/>
        </w:numPr>
        <w:spacing w:after="100"/>
      </w:pPr>
      <w:r>
        <w:rPr>
          <w:b/>
          <w:bCs/>
          <w:color w:val="1A2F5C"/>
        </w:rPr>
        <w:t xml:space="preserve">services — </w:t>
      </w:r>
      <w:r>
        <w:t>Business logic that orchestrates repositories and agents on behalf of the API layer.</w:t>
      </w:r>
    </w:p>
    <w:p w14:paraId="6CD14989" w14:textId="77777777" w:rsidR="003752ED" w:rsidRDefault="00000000">
      <w:pPr>
        <w:pStyle w:val="ListParagraph"/>
        <w:numPr>
          <w:ilvl w:val="0"/>
          <w:numId w:val="2"/>
        </w:numPr>
        <w:spacing w:after="100"/>
      </w:pPr>
      <w:r>
        <w:rPr>
          <w:b/>
          <w:bCs/>
          <w:color w:val="1A2F5C"/>
        </w:rPr>
        <w:t xml:space="preserve">main.py — </w:t>
      </w:r>
      <w:r>
        <w:t>Application entry point.</w:t>
      </w:r>
    </w:p>
    <w:p w14:paraId="33FF0ACD" w14:textId="77777777" w:rsidR="003752ED" w:rsidRDefault="00000000">
      <w:pPr>
        <w:pBdr>
          <w:left w:val="single" w:sz="18" w:space="8" w:color="2E5395"/>
        </w:pBdr>
        <w:shd w:val="clear" w:color="auto" w:fill="F4F6FB"/>
        <w:spacing w:before="120" w:after="200"/>
        <w:ind w:left="200"/>
      </w:pPr>
      <w:r>
        <w:rPr>
          <w:i/>
          <w:iCs/>
          <w:color w:val="4A6FA5"/>
          <w:sz w:val="20"/>
          <w:szCs w:val="20"/>
        </w:rPr>
        <w:t xml:space="preserve">Consideration: the current backend structure (agents / </w:t>
      </w:r>
      <w:proofErr w:type="spellStart"/>
      <w:r>
        <w:rPr>
          <w:i/>
          <w:iCs/>
          <w:color w:val="4A6FA5"/>
          <w:sz w:val="20"/>
          <w:szCs w:val="20"/>
        </w:rPr>
        <w:t>api</w:t>
      </w:r>
      <w:proofErr w:type="spellEnd"/>
      <w:r>
        <w:rPr>
          <w:i/>
          <w:iCs/>
          <w:color w:val="4A6FA5"/>
          <w:sz w:val="20"/>
          <w:szCs w:val="20"/>
        </w:rPr>
        <w:t xml:space="preserve"> / core / repositories / services) has evolved from the pattern originally documented in the Backend Developer Manual (routers / controllers / middleware / utils). This evolution is intentional and reflects the move toward agentic workflows, but the manual should be refreshed so onboarding documentation matches the codebase — see Section 3.2.</w:t>
      </w:r>
    </w:p>
    <w:p w14:paraId="5A4E2207" w14:textId="77777777" w:rsidR="003752ED" w:rsidRDefault="00000000">
      <w:r>
        <w:br w:type="page"/>
      </w:r>
    </w:p>
    <w:p w14:paraId="027C524B" w14:textId="77777777" w:rsidR="003752ED" w:rsidRDefault="00000000">
      <w:pPr>
        <w:pStyle w:val="Heading1"/>
        <w:pBdr>
          <w:bottom w:val="single" w:sz="8" w:space="4" w:color="2E5395"/>
        </w:pBdr>
        <w:spacing w:before="480" w:after="200"/>
      </w:pPr>
      <w:r>
        <w:rPr>
          <w:b/>
          <w:bCs/>
          <w:color w:val="1A2F5C"/>
        </w:rPr>
        <w:lastRenderedPageBreak/>
        <w:t>2.  Design Principles</w:t>
      </w:r>
    </w:p>
    <w:p w14:paraId="766DC25D" w14:textId="77777777" w:rsidR="003752ED" w:rsidRDefault="00000000">
      <w:pPr>
        <w:spacing w:after="160" w:line="276" w:lineRule="auto"/>
      </w:pPr>
      <w:r>
        <w:t xml:space="preserve">The following principles apply uniformly to the frontend and backend. Each principle states the standard, and how the Command </w:t>
      </w:r>
      <w:proofErr w:type="spellStart"/>
      <w:r>
        <w:t>Center</w:t>
      </w:r>
      <w:proofErr w:type="spellEnd"/>
      <w:r>
        <w:t xml:space="preserve"> currently implements it.</w:t>
      </w:r>
    </w:p>
    <w:p w14:paraId="6BC64FB0" w14:textId="77777777" w:rsidR="003752ED" w:rsidRDefault="00000000">
      <w:pPr>
        <w:pStyle w:val="Heading2"/>
        <w:spacing w:before="320" w:after="140"/>
      </w:pPr>
      <w:proofErr w:type="gramStart"/>
      <w:r>
        <w:rPr>
          <w:b/>
          <w:bCs/>
          <w:color w:val="2E5395"/>
          <w:sz w:val="25"/>
          <w:szCs w:val="25"/>
        </w:rPr>
        <w:t>2.1  Modularity</w:t>
      </w:r>
      <w:proofErr w:type="gramEnd"/>
      <w:r>
        <w:rPr>
          <w:b/>
          <w:bCs/>
          <w:color w:val="2E5395"/>
          <w:sz w:val="25"/>
          <w:szCs w:val="25"/>
        </w:rPr>
        <w:t xml:space="preserve"> &amp; Separation of Concerns</w:t>
      </w:r>
    </w:p>
    <w:p w14:paraId="31EC050E" w14:textId="77777777" w:rsidR="003752ED" w:rsidRDefault="00000000">
      <w:pPr>
        <w:spacing w:after="160" w:line="276" w:lineRule="auto"/>
      </w:pPr>
      <w:r>
        <w:t>Standard: each layer has one responsibility; layers communicate through well-defined interfaces only.</w:t>
      </w:r>
    </w:p>
    <w:p w14:paraId="468AB623" w14:textId="77777777" w:rsidR="003752ED" w:rsidRDefault="00000000">
      <w:pPr>
        <w:pStyle w:val="ListParagraph"/>
        <w:numPr>
          <w:ilvl w:val="0"/>
          <w:numId w:val="2"/>
        </w:numPr>
        <w:spacing w:after="100"/>
      </w:pPr>
      <w:r>
        <w:rPr>
          <w:b/>
          <w:bCs/>
          <w:color w:val="1A2F5C"/>
        </w:rPr>
        <w:t xml:space="preserve">Frontend — </w:t>
      </w:r>
      <w:r>
        <w:t xml:space="preserve">features/ isolates business capabilities; components/ stays presentation-only; </w:t>
      </w:r>
      <w:proofErr w:type="spellStart"/>
      <w:r>
        <w:t>api</w:t>
      </w:r>
      <w:proofErr w:type="spellEnd"/>
      <w:r>
        <w:t>/ is the sole HTTP boundary.</w:t>
      </w:r>
    </w:p>
    <w:p w14:paraId="527A4491" w14:textId="77777777" w:rsidR="003752ED" w:rsidRDefault="00000000">
      <w:pPr>
        <w:pStyle w:val="ListParagraph"/>
        <w:numPr>
          <w:ilvl w:val="0"/>
          <w:numId w:val="2"/>
        </w:numPr>
        <w:spacing w:after="100"/>
      </w:pPr>
      <w:r>
        <w:rPr>
          <w:b/>
          <w:bCs/>
          <w:color w:val="1A2F5C"/>
        </w:rPr>
        <w:t xml:space="preserve">Backend — </w:t>
      </w:r>
      <w:proofErr w:type="spellStart"/>
      <w:r>
        <w:t>api</w:t>
      </w:r>
      <w:proofErr w:type="spellEnd"/>
      <w:r>
        <w:t>/ handles routing only; services/ holds logic; repositories/ is the sole data-access boundary.</w:t>
      </w:r>
    </w:p>
    <w:p w14:paraId="37A53F13" w14:textId="77777777" w:rsidR="003752ED" w:rsidRDefault="003752ED">
      <w:pPr>
        <w:spacing w:after="160"/>
      </w:pPr>
    </w:p>
    <w:p w14:paraId="597191EB" w14:textId="77777777" w:rsidR="003752ED" w:rsidRDefault="00000000">
      <w:pPr>
        <w:pStyle w:val="Heading2"/>
        <w:spacing w:before="320" w:after="140"/>
      </w:pPr>
      <w:proofErr w:type="gramStart"/>
      <w:r>
        <w:rPr>
          <w:b/>
          <w:bCs/>
          <w:color w:val="2E5395"/>
          <w:sz w:val="25"/>
          <w:szCs w:val="25"/>
        </w:rPr>
        <w:t>2.2  Reusability</w:t>
      </w:r>
      <w:proofErr w:type="gramEnd"/>
    </w:p>
    <w:p w14:paraId="74F7D24A" w14:textId="77777777" w:rsidR="003752ED" w:rsidRDefault="00000000">
      <w:pPr>
        <w:spacing w:after="160" w:line="276" w:lineRule="auto"/>
      </w:pPr>
      <w:r>
        <w:t>Standard: common capabilities are built once and shared, not duplicated per feature.</w:t>
      </w:r>
    </w:p>
    <w:p w14:paraId="624B4CA1" w14:textId="77777777" w:rsidR="003752ED" w:rsidRDefault="00000000">
      <w:pPr>
        <w:pStyle w:val="ListParagraph"/>
        <w:numPr>
          <w:ilvl w:val="0"/>
          <w:numId w:val="2"/>
        </w:numPr>
        <w:spacing w:after="100"/>
      </w:pPr>
      <w:r>
        <w:rPr>
          <w:b/>
          <w:bCs/>
          <w:color w:val="1A2F5C"/>
        </w:rPr>
        <w:t xml:space="preserve">Frontend — </w:t>
      </w:r>
      <w:r>
        <w:t>Shared UI in components/, shared tokens in theme/, shared config in config/ and constants/.</w:t>
      </w:r>
    </w:p>
    <w:p w14:paraId="7DC79E1E" w14:textId="77777777" w:rsidR="003752ED" w:rsidRDefault="00000000">
      <w:pPr>
        <w:pStyle w:val="ListParagraph"/>
        <w:numPr>
          <w:ilvl w:val="0"/>
          <w:numId w:val="2"/>
        </w:numPr>
        <w:spacing w:after="100"/>
      </w:pPr>
      <w:r>
        <w:rPr>
          <w:b/>
          <w:bCs/>
          <w:color w:val="1A2F5C"/>
        </w:rPr>
        <w:t xml:space="preserve">Backend — </w:t>
      </w:r>
      <w:r>
        <w:t>Shared business rules live in services/; shared orchestration patterns live in agents/.</w:t>
      </w:r>
    </w:p>
    <w:p w14:paraId="6E09D8BC" w14:textId="77777777" w:rsidR="003752ED" w:rsidRDefault="003752ED">
      <w:pPr>
        <w:spacing w:after="160"/>
      </w:pPr>
    </w:p>
    <w:p w14:paraId="0ACC9D9C" w14:textId="77777777" w:rsidR="003752ED" w:rsidRDefault="00000000">
      <w:pPr>
        <w:pStyle w:val="Heading2"/>
        <w:spacing w:before="320" w:after="140"/>
      </w:pPr>
      <w:proofErr w:type="gramStart"/>
      <w:r>
        <w:rPr>
          <w:b/>
          <w:bCs/>
          <w:color w:val="2E5395"/>
          <w:sz w:val="25"/>
          <w:szCs w:val="25"/>
        </w:rPr>
        <w:t>2.3  Consistency</w:t>
      </w:r>
      <w:proofErr w:type="gramEnd"/>
      <w:r>
        <w:rPr>
          <w:b/>
          <w:bCs/>
          <w:color w:val="2E5395"/>
          <w:sz w:val="25"/>
          <w:szCs w:val="25"/>
        </w:rPr>
        <w:t xml:space="preserve"> &amp; Naming Conventions</w:t>
      </w:r>
    </w:p>
    <w:p w14:paraId="66C72025" w14:textId="77777777" w:rsidR="003752ED" w:rsidRDefault="00000000">
      <w:pPr>
        <w:spacing w:after="160" w:line="276" w:lineRule="auto"/>
      </w:pPr>
      <w:r>
        <w:t>Consistent naming lets any developer predict where something lives and what a name means without reading the implementation.</w:t>
      </w:r>
    </w:p>
    <w:p w14:paraId="0029074F" w14:textId="77777777" w:rsidR="003752ED" w:rsidRDefault="00000000">
      <w:pPr>
        <w:pStyle w:val="Heading3"/>
        <w:spacing w:before="220" w:after="100"/>
      </w:pPr>
      <w:r>
        <w:rPr>
          <w:b/>
          <w:bCs/>
          <w:color w:val="1A2740"/>
          <w:sz w:val="22"/>
          <w:szCs w:val="22"/>
        </w:rPr>
        <w:t>Frontend (React/TypeScript)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52ED" w14:paraId="0510349E" w14:textId="77777777">
        <w:tblPrEx>
          <w:tblCellMar>
            <w:top w:w="0" w:type="dxa"/>
            <w:bottom w:w="0" w:type="dxa"/>
          </w:tblCellMar>
        </w:tblPrEx>
        <w:trPr>
          <w:tblHeader/>
        </w:trPr>
        <w:tc>
          <w:tcPr>
            <w:tcW w:w="2400" w:type="dxa"/>
            <w:shd w:val="clear" w:color="auto" w:fill="1A2F5C"/>
            <w:tcMar>
              <w:top w:w="100" w:type="dxa"/>
              <w:left w:w="120" w:type="dxa"/>
              <w:bottom w:w="100" w:type="dxa"/>
              <w:right w:w="120" w:type="dxa"/>
            </w:tcMar>
            <w:vAlign w:val="center"/>
          </w:tcPr>
          <w:p w14:paraId="410A0956" w14:textId="77777777" w:rsidR="003752ED" w:rsidRDefault="00000000">
            <w:r>
              <w:rPr>
                <w:b/>
                <w:bCs/>
                <w:color w:val="FFFFFF"/>
                <w:sz w:val="20"/>
                <w:szCs w:val="20"/>
              </w:rPr>
              <w:t>Element</w:t>
            </w:r>
          </w:p>
        </w:tc>
        <w:tc>
          <w:tcPr>
            <w:tcW w:w="3480" w:type="dxa"/>
            <w:shd w:val="clear" w:color="auto" w:fill="1A2F5C"/>
            <w:tcMar>
              <w:top w:w="100" w:type="dxa"/>
              <w:left w:w="120" w:type="dxa"/>
              <w:bottom w:w="100" w:type="dxa"/>
              <w:right w:w="120" w:type="dxa"/>
            </w:tcMar>
            <w:vAlign w:val="center"/>
          </w:tcPr>
          <w:p w14:paraId="39150575" w14:textId="77777777" w:rsidR="003752ED" w:rsidRDefault="00000000">
            <w:r>
              <w:rPr>
                <w:b/>
                <w:bCs/>
                <w:color w:val="FFFFFF"/>
                <w:sz w:val="20"/>
                <w:szCs w:val="20"/>
              </w:rPr>
              <w:t>Convention</w:t>
            </w:r>
          </w:p>
        </w:tc>
        <w:tc>
          <w:tcPr>
            <w:tcW w:w="3480" w:type="dxa"/>
            <w:shd w:val="clear" w:color="auto" w:fill="1A2F5C"/>
            <w:tcMar>
              <w:top w:w="100" w:type="dxa"/>
              <w:left w:w="120" w:type="dxa"/>
              <w:bottom w:w="100" w:type="dxa"/>
              <w:right w:w="120" w:type="dxa"/>
            </w:tcMar>
            <w:vAlign w:val="center"/>
          </w:tcPr>
          <w:p w14:paraId="767F19DD" w14:textId="77777777" w:rsidR="003752ED" w:rsidRDefault="00000000">
            <w:r>
              <w:rPr>
                <w:b/>
                <w:bCs/>
                <w:color w:val="FFFFFF"/>
                <w:sz w:val="20"/>
                <w:szCs w:val="20"/>
              </w:rPr>
              <w:t>Example</w:t>
            </w:r>
          </w:p>
        </w:tc>
      </w:tr>
      <w:tr w:rsidR="003752ED" w14:paraId="176AE1B1"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9BF324A" w14:textId="77777777" w:rsidR="003752ED" w:rsidRDefault="00000000">
            <w:r>
              <w:rPr>
                <w:b/>
                <w:bCs/>
                <w:sz w:val="20"/>
                <w:szCs w:val="20"/>
              </w:rPr>
              <w:t>Files</w:t>
            </w:r>
          </w:p>
        </w:tc>
        <w:tc>
          <w:tcPr>
            <w:tcW w:w="3480" w:type="dxa"/>
            <w:shd w:val="clear" w:color="auto" w:fill="FFFFFF"/>
            <w:tcMar>
              <w:top w:w="100" w:type="dxa"/>
              <w:left w:w="120" w:type="dxa"/>
              <w:bottom w:w="100" w:type="dxa"/>
              <w:right w:w="120" w:type="dxa"/>
            </w:tcMar>
            <w:vAlign w:val="center"/>
          </w:tcPr>
          <w:p w14:paraId="16F9371F" w14:textId="77777777" w:rsidR="003752ED" w:rsidRDefault="00000000">
            <w:r>
              <w:rPr>
                <w:sz w:val="20"/>
                <w:szCs w:val="20"/>
              </w:rPr>
              <w:t>kebab-case</w:t>
            </w:r>
          </w:p>
        </w:tc>
        <w:tc>
          <w:tcPr>
            <w:tcW w:w="3480" w:type="dxa"/>
            <w:shd w:val="clear" w:color="auto" w:fill="FFFFFF"/>
            <w:tcMar>
              <w:top w:w="100" w:type="dxa"/>
              <w:left w:w="120" w:type="dxa"/>
              <w:bottom w:w="100" w:type="dxa"/>
              <w:right w:w="120" w:type="dxa"/>
            </w:tcMar>
            <w:vAlign w:val="center"/>
          </w:tcPr>
          <w:p w14:paraId="71C46BDD" w14:textId="77777777" w:rsidR="003752ED" w:rsidRDefault="00000000">
            <w:r>
              <w:rPr>
                <w:sz w:val="20"/>
                <w:szCs w:val="20"/>
              </w:rPr>
              <w:t>user-profile-</w:t>
            </w:r>
            <w:proofErr w:type="spellStart"/>
            <w:r>
              <w:rPr>
                <w:sz w:val="20"/>
                <w:szCs w:val="20"/>
              </w:rPr>
              <w:t>card.tsx</w:t>
            </w:r>
            <w:proofErr w:type="spellEnd"/>
          </w:p>
        </w:tc>
      </w:tr>
      <w:tr w:rsidR="003752ED" w14:paraId="55B82EAB"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7A61060F" w14:textId="77777777" w:rsidR="003752ED" w:rsidRDefault="00000000">
            <w:r>
              <w:rPr>
                <w:b/>
                <w:bCs/>
                <w:sz w:val="20"/>
                <w:szCs w:val="20"/>
              </w:rPr>
              <w:t>Components</w:t>
            </w:r>
          </w:p>
        </w:tc>
        <w:tc>
          <w:tcPr>
            <w:tcW w:w="3480" w:type="dxa"/>
            <w:shd w:val="clear" w:color="auto" w:fill="EAF2FC"/>
            <w:tcMar>
              <w:top w:w="100" w:type="dxa"/>
              <w:left w:w="120" w:type="dxa"/>
              <w:bottom w:w="100" w:type="dxa"/>
              <w:right w:w="120" w:type="dxa"/>
            </w:tcMar>
            <w:vAlign w:val="center"/>
          </w:tcPr>
          <w:p w14:paraId="77326794" w14:textId="77777777" w:rsidR="003752ED" w:rsidRDefault="00000000">
            <w:proofErr w:type="spellStart"/>
            <w:r>
              <w:rPr>
                <w:sz w:val="20"/>
                <w:szCs w:val="20"/>
              </w:rPr>
              <w:t>PascalCase</w:t>
            </w:r>
            <w:proofErr w:type="spellEnd"/>
          </w:p>
        </w:tc>
        <w:tc>
          <w:tcPr>
            <w:tcW w:w="3480" w:type="dxa"/>
            <w:shd w:val="clear" w:color="auto" w:fill="EAF2FC"/>
            <w:tcMar>
              <w:top w:w="100" w:type="dxa"/>
              <w:left w:w="120" w:type="dxa"/>
              <w:bottom w:w="100" w:type="dxa"/>
              <w:right w:w="120" w:type="dxa"/>
            </w:tcMar>
            <w:vAlign w:val="center"/>
          </w:tcPr>
          <w:p w14:paraId="63BC9BF7" w14:textId="77777777" w:rsidR="003752ED" w:rsidRDefault="00000000">
            <w:proofErr w:type="spellStart"/>
            <w:r>
              <w:rPr>
                <w:sz w:val="20"/>
                <w:szCs w:val="20"/>
              </w:rPr>
              <w:t>DashboardHeader</w:t>
            </w:r>
            <w:proofErr w:type="spellEnd"/>
          </w:p>
        </w:tc>
      </w:tr>
      <w:tr w:rsidR="003752ED" w14:paraId="7A76FE3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5E32B18" w14:textId="77777777" w:rsidR="003752ED" w:rsidRDefault="00000000">
            <w:r>
              <w:rPr>
                <w:b/>
                <w:bCs/>
                <w:sz w:val="20"/>
                <w:szCs w:val="20"/>
              </w:rPr>
              <w:t>Functions / variables</w:t>
            </w:r>
          </w:p>
        </w:tc>
        <w:tc>
          <w:tcPr>
            <w:tcW w:w="3480" w:type="dxa"/>
            <w:shd w:val="clear" w:color="auto" w:fill="FFFFFF"/>
            <w:tcMar>
              <w:top w:w="100" w:type="dxa"/>
              <w:left w:w="120" w:type="dxa"/>
              <w:bottom w:w="100" w:type="dxa"/>
              <w:right w:w="120" w:type="dxa"/>
            </w:tcMar>
            <w:vAlign w:val="center"/>
          </w:tcPr>
          <w:p w14:paraId="46F8EA72" w14:textId="77777777" w:rsidR="003752ED" w:rsidRDefault="00000000">
            <w:r>
              <w:rPr>
                <w:sz w:val="20"/>
                <w:szCs w:val="20"/>
              </w:rPr>
              <w:t>camelCase</w:t>
            </w:r>
          </w:p>
        </w:tc>
        <w:tc>
          <w:tcPr>
            <w:tcW w:w="3480" w:type="dxa"/>
            <w:shd w:val="clear" w:color="auto" w:fill="FFFFFF"/>
            <w:tcMar>
              <w:top w:w="100" w:type="dxa"/>
              <w:left w:w="120" w:type="dxa"/>
              <w:bottom w:w="100" w:type="dxa"/>
              <w:right w:w="120" w:type="dxa"/>
            </w:tcMar>
            <w:vAlign w:val="center"/>
          </w:tcPr>
          <w:p w14:paraId="5646F021" w14:textId="77777777" w:rsidR="003752ED" w:rsidRDefault="00000000">
            <w:proofErr w:type="spellStart"/>
            <w:r>
              <w:rPr>
                <w:sz w:val="20"/>
                <w:szCs w:val="20"/>
              </w:rPr>
              <w:t>fetchUserData</w:t>
            </w:r>
            <w:proofErr w:type="spellEnd"/>
            <w:r>
              <w:rPr>
                <w:sz w:val="20"/>
                <w:szCs w:val="20"/>
              </w:rPr>
              <w:t xml:space="preserve">, </w:t>
            </w:r>
            <w:proofErr w:type="spellStart"/>
            <w:r>
              <w:rPr>
                <w:sz w:val="20"/>
                <w:szCs w:val="20"/>
              </w:rPr>
              <w:t>setUserInfo</w:t>
            </w:r>
            <w:proofErr w:type="spellEnd"/>
          </w:p>
        </w:tc>
      </w:tr>
      <w:tr w:rsidR="003752ED" w14:paraId="6FF1F25D"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4203C18D" w14:textId="77777777" w:rsidR="003752ED" w:rsidRDefault="00000000">
            <w:r>
              <w:rPr>
                <w:b/>
                <w:bCs/>
                <w:sz w:val="20"/>
                <w:szCs w:val="20"/>
              </w:rPr>
              <w:t xml:space="preserve">Constants / </w:t>
            </w:r>
            <w:proofErr w:type="spellStart"/>
            <w:r>
              <w:rPr>
                <w:b/>
                <w:bCs/>
                <w:sz w:val="20"/>
                <w:szCs w:val="20"/>
              </w:rPr>
              <w:t>enums</w:t>
            </w:r>
            <w:proofErr w:type="spellEnd"/>
          </w:p>
        </w:tc>
        <w:tc>
          <w:tcPr>
            <w:tcW w:w="3480" w:type="dxa"/>
            <w:shd w:val="clear" w:color="auto" w:fill="EAF2FC"/>
            <w:tcMar>
              <w:top w:w="100" w:type="dxa"/>
              <w:left w:w="120" w:type="dxa"/>
              <w:bottom w:w="100" w:type="dxa"/>
              <w:right w:w="120" w:type="dxa"/>
            </w:tcMar>
            <w:vAlign w:val="center"/>
          </w:tcPr>
          <w:p w14:paraId="252506FB" w14:textId="77777777" w:rsidR="003752ED" w:rsidRDefault="00000000">
            <w:r>
              <w:rPr>
                <w:sz w:val="20"/>
                <w:szCs w:val="20"/>
              </w:rPr>
              <w:t xml:space="preserve">UPPER_SNAKE_CASE / </w:t>
            </w:r>
            <w:proofErr w:type="spellStart"/>
            <w:r>
              <w:rPr>
                <w:sz w:val="20"/>
                <w:szCs w:val="20"/>
              </w:rPr>
              <w:t>PascalCase</w:t>
            </w:r>
            <w:proofErr w:type="spellEnd"/>
          </w:p>
        </w:tc>
        <w:tc>
          <w:tcPr>
            <w:tcW w:w="3480" w:type="dxa"/>
            <w:shd w:val="clear" w:color="auto" w:fill="EAF2FC"/>
            <w:tcMar>
              <w:top w:w="100" w:type="dxa"/>
              <w:left w:w="120" w:type="dxa"/>
              <w:bottom w:w="100" w:type="dxa"/>
              <w:right w:w="120" w:type="dxa"/>
            </w:tcMar>
            <w:vAlign w:val="center"/>
          </w:tcPr>
          <w:p w14:paraId="18898CF9" w14:textId="77777777" w:rsidR="003752ED" w:rsidRDefault="00000000">
            <w:r>
              <w:rPr>
                <w:sz w:val="20"/>
                <w:szCs w:val="20"/>
              </w:rPr>
              <w:t>API_URL</w:t>
            </w:r>
          </w:p>
        </w:tc>
      </w:tr>
      <w:tr w:rsidR="003752ED" w14:paraId="11D43E9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FEBC5AF" w14:textId="77777777" w:rsidR="003752ED" w:rsidRDefault="00000000">
            <w:r>
              <w:rPr>
                <w:b/>
                <w:bCs/>
                <w:sz w:val="20"/>
                <w:szCs w:val="20"/>
              </w:rPr>
              <w:t>Boolean state/props</w:t>
            </w:r>
          </w:p>
        </w:tc>
        <w:tc>
          <w:tcPr>
            <w:tcW w:w="3480" w:type="dxa"/>
            <w:shd w:val="clear" w:color="auto" w:fill="FFFFFF"/>
            <w:tcMar>
              <w:top w:w="100" w:type="dxa"/>
              <w:left w:w="120" w:type="dxa"/>
              <w:bottom w:w="100" w:type="dxa"/>
              <w:right w:w="120" w:type="dxa"/>
            </w:tcMar>
            <w:vAlign w:val="center"/>
          </w:tcPr>
          <w:p w14:paraId="030B93A2" w14:textId="77777777" w:rsidR="003752ED" w:rsidRDefault="00000000">
            <w:r>
              <w:rPr>
                <w:sz w:val="20"/>
                <w:szCs w:val="20"/>
              </w:rPr>
              <w:t>is / has / should prefix</w:t>
            </w:r>
          </w:p>
        </w:tc>
        <w:tc>
          <w:tcPr>
            <w:tcW w:w="3480" w:type="dxa"/>
            <w:shd w:val="clear" w:color="auto" w:fill="FFFFFF"/>
            <w:tcMar>
              <w:top w:w="100" w:type="dxa"/>
              <w:left w:w="120" w:type="dxa"/>
              <w:bottom w:w="100" w:type="dxa"/>
              <w:right w:w="120" w:type="dxa"/>
            </w:tcMar>
            <w:vAlign w:val="center"/>
          </w:tcPr>
          <w:p w14:paraId="6E2B6525" w14:textId="77777777" w:rsidR="003752ED" w:rsidRDefault="00000000">
            <w:proofErr w:type="spellStart"/>
            <w:r>
              <w:rPr>
                <w:sz w:val="20"/>
                <w:szCs w:val="20"/>
              </w:rPr>
              <w:t>isModalOpen</w:t>
            </w:r>
            <w:proofErr w:type="spellEnd"/>
            <w:r>
              <w:rPr>
                <w:sz w:val="20"/>
                <w:szCs w:val="20"/>
              </w:rPr>
              <w:t xml:space="preserve">, </w:t>
            </w:r>
            <w:proofErr w:type="spellStart"/>
            <w:r>
              <w:rPr>
                <w:sz w:val="20"/>
                <w:szCs w:val="20"/>
              </w:rPr>
              <w:t>hasError</w:t>
            </w:r>
            <w:proofErr w:type="spellEnd"/>
          </w:p>
        </w:tc>
      </w:tr>
      <w:tr w:rsidR="003752ED" w14:paraId="12FA4240"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16722B42" w14:textId="77777777" w:rsidR="003752ED" w:rsidRDefault="00000000">
            <w:r>
              <w:rPr>
                <w:b/>
                <w:bCs/>
                <w:sz w:val="20"/>
                <w:szCs w:val="20"/>
              </w:rPr>
              <w:t>Event handlers</w:t>
            </w:r>
          </w:p>
        </w:tc>
        <w:tc>
          <w:tcPr>
            <w:tcW w:w="3480" w:type="dxa"/>
            <w:shd w:val="clear" w:color="auto" w:fill="EAF2FC"/>
            <w:tcMar>
              <w:top w:w="100" w:type="dxa"/>
              <w:left w:w="120" w:type="dxa"/>
              <w:bottom w:w="100" w:type="dxa"/>
              <w:right w:w="120" w:type="dxa"/>
            </w:tcMar>
            <w:vAlign w:val="center"/>
          </w:tcPr>
          <w:p w14:paraId="34F234E1" w14:textId="77777777" w:rsidR="003752ED" w:rsidRDefault="00000000">
            <w:r>
              <w:rPr>
                <w:sz w:val="20"/>
                <w:szCs w:val="20"/>
              </w:rPr>
              <w:t>handle / on prefix</w:t>
            </w:r>
          </w:p>
        </w:tc>
        <w:tc>
          <w:tcPr>
            <w:tcW w:w="3480" w:type="dxa"/>
            <w:shd w:val="clear" w:color="auto" w:fill="EAF2FC"/>
            <w:tcMar>
              <w:top w:w="100" w:type="dxa"/>
              <w:left w:w="120" w:type="dxa"/>
              <w:bottom w:w="100" w:type="dxa"/>
              <w:right w:w="120" w:type="dxa"/>
            </w:tcMar>
            <w:vAlign w:val="center"/>
          </w:tcPr>
          <w:p w14:paraId="4AE37487" w14:textId="77777777" w:rsidR="003752ED" w:rsidRDefault="00000000">
            <w:proofErr w:type="spellStart"/>
            <w:r>
              <w:rPr>
                <w:sz w:val="20"/>
                <w:szCs w:val="20"/>
              </w:rPr>
              <w:t>handleInputChange</w:t>
            </w:r>
            <w:proofErr w:type="spellEnd"/>
            <w:r>
              <w:rPr>
                <w:sz w:val="20"/>
                <w:szCs w:val="20"/>
              </w:rPr>
              <w:t xml:space="preserve">, </w:t>
            </w:r>
            <w:proofErr w:type="spellStart"/>
            <w:r>
              <w:rPr>
                <w:sz w:val="20"/>
                <w:szCs w:val="20"/>
              </w:rPr>
              <w:t>onButtonClick</w:t>
            </w:r>
            <w:proofErr w:type="spellEnd"/>
          </w:p>
        </w:tc>
      </w:tr>
      <w:tr w:rsidR="003752ED" w14:paraId="4548D655"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5CC579C" w14:textId="77777777" w:rsidR="003752ED" w:rsidRDefault="00000000">
            <w:r>
              <w:rPr>
                <w:b/>
                <w:bCs/>
                <w:sz w:val="20"/>
                <w:szCs w:val="20"/>
              </w:rPr>
              <w:t>Hooks &amp; utilities</w:t>
            </w:r>
          </w:p>
        </w:tc>
        <w:tc>
          <w:tcPr>
            <w:tcW w:w="3480" w:type="dxa"/>
            <w:shd w:val="clear" w:color="auto" w:fill="FFFFFF"/>
            <w:tcMar>
              <w:top w:w="100" w:type="dxa"/>
              <w:left w:w="120" w:type="dxa"/>
              <w:bottom w:w="100" w:type="dxa"/>
              <w:right w:w="120" w:type="dxa"/>
            </w:tcMar>
            <w:vAlign w:val="center"/>
          </w:tcPr>
          <w:p w14:paraId="2B49C4A7" w14:textId="77777777" w:rsidR="003752ED" w:rsidRDefault="00000000">
            <w:r>
              <w:rPr>
                <w:sz w:val="20"/>
                <w:szCs w:val="20"/>
              </w:rPr>
              <w:t>get / set / is / has / should / use prefix</w:t>
            </w:r>
          </w:p>
        </w:tc>
        <w:tc>
          <w:tcPr>
            <w:tcW w:w="3480" w:type="dxa"/>
            <w:shd w:val="clear" w:color="auto" w:fill="FFFFFF"/>
            <w:tcMar>
              <w:top w:w="100" w:type="dxa"/>
              <w:left w:w="120" w:type="dxa"/>
              <w:bottom w:w="100" w:type="dxa"/>
              <w:right w:w="120" w:type="dxa"/>
            </w:tcMar>
            <w:vAlign w:val="center"/>
          </w:tcPr>
          <w:p w14:paraId="480A115C" w14:textId="77777777" w:rsidR="003752ED" w:rsidRDefault="00000000">
            <w:proofErr w:type="spellStart"/>
            <w:r>
              <w:rPr>
                <w:sz w:val="20"/>
                <w:szCs w:val="20"/>
              </w:rPr>
              <w:t>useCustomHook</w:t>
            </w:r>
            <w:proofErr w:type="spellEnd"/>
            <w:r>
              <w:rPr>
                <w:sz w:val="20"/>
                <w:szCs w:val="20"/>
              </w:rPr>
              <w:t xml:space="preserve">, </w:t>
            </w:r>
            <w:proofErr w:type="spellStart"/>
            <w:r>
              <w:rPr>
                <w:sz w:val="20"/>
                <w:szCs w:val="20"/>
              </w:rPr>
              <w:t>getFormattedDate</w:t>
            </w:r>
            <w:proofErr w:type="spellEnd"/>
          </w:p>
        </w:tc>
      </w:tr>
      <w:tr w:rsidR="003752ED" w14:paraId="07556F4A"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1653418A" w14:textId="77777777" w:rsidR="003752ED" w:rsidRDefault="00000000">
            <w:r>
              <w:rPr>
                <w:b/>
                <w:bCs/>
                <w:sz w:val="20"/>
                <w:szCs w:val="20"/>
              </w:rPr>
              <w:t>HOCs</w:t>
            </w:r>
          </w:p>
        </w:tc>
        <w:tc>
          <w:tcPr>
            <w:tcW w:w="3480" w:type="dxa"/>
            <w:shd w:val="clear" w:color="auto" w:fill="EAF2FC"/>
            <w:tcMar>
              <w:top w:w="100" w:type="dxa"/>
              <w:left w:w="120" w:type="dxa"/>
              <w:bottom w:w="100" w:type="dxa"/>
              <w:right w:w="120" w:type="dxa"/>
            </w:tcMar>
            <w:vAlign w:val="center"/>
          </w:tcPr>
          <w:p w14:paraId="130609A0" w14:textId="77777777" w:rsidR="003752ED" w:rsidRDefault="00000000">
            <w:r>
              <w:rPr>
                <w:sz w:val="20"/>
                <w:szCs w:val="20"/>
              </w:rPr>
              <w:t>with prefix, camelCase</w:t>
            </w:r>
          </w:p>
        </w:tc>
        <w:tc>
          <w:tcPr>
            <w:tcW w:w="3480" w:type="dxa"/>
            <w:shd w:val="clear" w:color="auto" w:fill="EAF2FC"/>
            <w:tcMar>
              <w:top w:w="100" w:type="dxa"/>
              <w:left w:w="120" w:type="dxa"/>
              <w:bottom w:w="100" w:type="dxa"/>
              <w:right w:w="120" w:type="dxa"/>
            </w:tcMar>
            <w:vAlign w:val="center"/>
          </w:tcPr>
          <w:p w14:paraId="69AC0555" w14:textId="77777777" w:rsidR="003752ED" w:rsidRDefault="00000000">
            <w:proofErr w:type="spellStart"/>
            <w:r>
              <w:rPr>
                <w:sz w:val="20"/>
                <w:szCs w:val="20"/>
              </w:rPr>
              <w:t>withAuth</w:t>
            </w:r>
            <w:proofErr w:type="spellEnd"/>
            <w:r>
              <w:rPr>
                <w:sz w:val="20"/>
                <w:szCs w:val="20"/>
              </w:rPr>
              <w:t xml:space="preserve">, </w:t>
            </w:r>
            <w:proofErr w:type="spellStart"/>
            <w:r>
              <w:rPr>
                <w:sz w:val="20"/>
                <w:szCs w:val="20"/>
              </w:rPr>
              <w:t>withTheme</w:t>
            </w:r>
            <w:proofErr w:type="spellEnd"/>
          </w:p>
        </w:tc>
      </w:tr>
      <w:tr w:rsidR="003752ED" w14:paraId="2A43BBEE"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39B2273" w14:textId="77777777" w:rsidR="003752ED" w:rsidRDefault="00000000">
            <w:r>
              <w:rPr>
                <w:b/>
                <w:bCs/>
                <w:sz w:val="20"/>
                <w:szCs w:val="20"/>
              </w:rPr>
              <w:t>Context providers</w:t>
            </w:r>
          </w:p>
        </w:tc>
        <w:tc>
          <w:tcPr>
            <w:tcW w:w="3480" w:type="dxa"/>
            <w:shd w:val="clear" w:color="auto" w:fill="FFFFFF"/>
            <w:tcMar>
              <w:top w:w="100" w:type="dxa"/>
              <w:left w:w="120" w:type="dxa"/>
              <w:bottom w:w="100" w:type="dxa"/>
              <w:right w:w="120" w:type="dxa"/>
            </w:tcMar>
            <w:vAlign w:val="center"/>
          </w:tcPr>
          <w:p w14:paraId="21859B4D" w14:textId="77777777" w:rsidR="003752ED" w:rsidRDefault="00000000">
            <w:proofErr w:type="spellStart"/>
            <w:r>
              <w:rPr>
                <w:sz w:val="20"/>
                <w:szCs w:val="20"/>
              </w:rPr>
              <w:t>PascalCase</w:t>
            </w:r>
            <w:proofErr w:type="spellEnd"/>
            <w:r>
              <w:rPr>
                <w:sz w:val="20"/>
                <w:szCs w:val="20"/>
              </w:rPr>
              <w:t>, Provider/Consumer suffix</w:t>
            </w:r>
          </w:p>
        </w:tc>
        <w:tc>
          <w:tcPr>
            <w:tcW w:w="3480" w:type="dxa"/>
            <w:shd w:val="clear" w:color="auto" w:fill="FFFFFF"/>
            <w:tcMar>
              <w:top w:w="100" w:type="dxa"/>
              <w:left w:w="120" w:type="dxa"/>
              <w:bottom w:w="100" w:type="dxa"/>
              <w:right w:w="120" w:type="dxa"/>
            </w:tcMar>
            <w:vAlign w:val="center"/>
          </w:tcPr>
          <w:p w14:paraId="1DA3A6D3" w14:textId="77777777" w:rsidR="003752ED" w:rsidRDefault="00000000">
            <w:proofErr w:type="spellStart"/>
            <w:r>
              <w:rPr>
                <w:sz w:val="20"/>
                <w:szCs w:val="20"/>
              </w:rPr>
              <w:t>ThemeProvider</w:t>
            </w:r>
            <w:proofErr w:type="spellEnd"/>
          </w:p>
        </w:tc>
      </w:tr>
    </w:tbl>
    <w:p w14:paraId="038D53AF" w14:textId="77777777" w:rsidR="003752ED" w:rsidRDefault="003752ED">
      <w:pPr>
        <w:spacing w:after="160"/>
      </w:pPr>
    </w:p>
    <w:p w14:paraId="5FD01938" w14:textId="77777777" w:rsidR="003752ED" w:rsidRDefault="00000000">
      <w:pPr>
        <w:pStyle w:val="Heading3"/>
        <w:spacing w:before="220" w:after="100"/>
      </w:pPr>
      <w:r>
        <w:rPr>
          <w:b/>
          <w:bCs/>
          <w:color w:val="1A2740"/>
          <w:sz w:val="22"/>
          <w:szCs w:val="22"/>
        </w:rPr>
        <w:t>Backend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52ED" w14:paraId="1ABFF4C6" w14:textId="77777777">
        <w:tblPrEx>
          <w:tblCellMar>
            <w:top w:w="0" w:type="dxa"/>
            <w:bottom w:w="0" w:type="dxa"/>
          </w:tblCellMar>
        </w:tblPrEx>
        <w:trPr>
          <w:tblHeader/>
        </w:trPr>
        <w:tc>
          <w:tcPr>
            <w:tcW w:w="2400" w:type="dxa"/>
            <w:shd w:val="clear" w:color="auto" w:fill="1A2F5C"/>
            <w:tcMar>
              <w:top w:w="100" w:type="dxa"/>
              <w:left w:w="120" w:type="dxa"/>
              <w:bottom w:w="100" w:type="dxa"/>
              <w:right w:w="120" w:type="dxa"/>
            </w:tcMar>
            <w:vAlign w:val="center"/>
          </w:tcPr>
          <w:p w14:paraId="4D645F78" w14:textId="77777777" w:rsidR="003752ED" w:rsidRDefault="00000000">
            <w:r>
              <w:rPr>
                <w:b/>
                <w:bCs/>
                <w:color w:val="FFFFFF"/>
                <w:sz w:val="20"/>
                <w:szCs w:val="20"/>
              </w:rPr>
              <w:lastRenderedPageBreak/>
              <w:t>Element</w:t>
            </w:r>
          </w:p>
        </w:tc>
        <w:tc>
          <w:tcPr>
            <w:tcW w:w="3480" w:type="dxa"/>
            <w:shd w:val="clear" w:color="auto" w:fill="1A2F5C"/>
            <w:tcMar>
              <w:top w:w="100" w:type="dxa"/>
              <w:left w:w="120" w:type="dxa"/>
              <w:bottom w:w="100" w:type="dxa"/>
              <w:right w:w="120" w:type="dxa"/>
            </w:tcMar>
            <w:vAlign w:val="center"/>
          </w:tcPr>
          <w:p w14:paraId="1EAF6E8A" w14:textId="77777777" w:rsidR="003752ED" w:rsidRDefault="00000000">
            <w:r>
              <w:rPr>
                <w:b/>
                <w:bCs/>
                <w:color w:val="FFFFFF"/>
                <w:sz w:val="20"/>
                <w:szCs w:val="20"/>
              </w:rPr>
              <w:t>Convention</w:t>
            </w:r>
          </w:p>
        </w:tc>
        <w:tc>
          <w:tcPr>
            <w:tcW w:w="3480" w:type="dxa"/>
            <w:shd w:val="clear" w:color="auto" w:fill="1A2F5C"/>
            <w:tcMar>
              <w:top w:w="100" w:type="dxa"/>
              <w:left w:w="120" w:type="dxa"/>
              <w:bottom w:w="100" w:type="dxa"/>
              <w:right w:w="120" w:type="dxa"/>
            </w:tcMar>
            <w:vAlign w:val="center"/>
          </w:tcPr>
          <w:p w14:paraId="4B3065D8" w14:textId="77777777" w:rsidR="003752ED" w:rsidRDefault="00000000">
            <w:r>
              <w:rPr>
                <w:b/>
                <w:bCs/>
                <w:color w:val="FFFFFF"/>
                <w:sz w:val="20"/>
                <w:szCs w:val="20"/>
              </w:rPr>
              <w:t>Example</w:t>
            </w:r>
          </w:p>
        </w:tc>
      </w:tr>
      <w:tr w:rsidR="003752ED" w14:paraId="5D6148A6"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11E1995" w14:textId="77777777" w:rsidR="003752ED" w:rsidRDefault="00000000">
            <w:r>
              <w:rPr>
                <w:b/>
                <w:bCs/>
                <w:sz w:val="20"/>
                <w:szCs w:val="20"/>
              </w:rPr>
              <w:t>Files</w:t>
            </w:r>
          </w:p>
        </w:tc>
        <w:tc>
          <w:tcPr>
            <w:tcW w:w="3480" w:type="dxa"/>
            <w:shd w:val="clear" w:color="auto" w:fill="FFFFFF"/>
            <w:tcMar>
              <w:top w:w="100" w:type="dxa"/>
              <w:left w:w="120" w:type="dxa"/>
              <w:bottom w:w="100" w:type="dxa"/>
              <w:right w:w="120" w:type="dxa"/>
            </w:tcMar>
            <w:vAlign w:val="center"/>
          </w:tcPr>
          <w:p w14:paraId="0AC8582D" w14:textId="77777777" w:rsidR="003752ED" w:rsidRDefault="00000000">
            <w:proofErr w:type="spellStart"/>
            <w:r>
              <w:rPr>
                <w:sz w:val="20"/>
                <w:szCs w:val="20"/>
              </w:rPr>
              <w:t>snake_case</w:t>
            </w:r>
            <w:proofErr w:type="spellEnd"/>
          </w:p>
        </w:tc>
        <w:tc>
          <w:tcPr>
            <w:tcW w:w="3480" w:type="dxa"/>
            <w:shd w:val="clear" w:color="auto" w:fill="FFFFFF"/>
            <w:tcMar>
              <w:top w:w="100" w:type="dxa"/>
              <w:left w:w="120" w:type="dxa"/>
              <w:bottom w:w="100" w:type="dxa"/>
              <w:right w:w="120" w:type="dxa"/>
            </w:tcMar>
            <w:vAlign w:val="center"/>
          </w:tcPr>
          <w:p w14:paraId="42EB712B" w14:textId="77777777" w:rsidR="003752ED" w:rsidRDefault="00000000">
            <w:r>
              <w:rPr>
                <w:sz w:val="20"/>
                <w:szCs w:val="20"/>
              </w:rPr>
              <w:t>users_router.py</w:t>
            </w:r>
          </w:p>
        </w:tc>
      </w:tr>
      <w:tr w:rsidR="003752ED" w14:paraId="6A993DFD"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782CF3D3" w14:textId="77777777" w:rsidR="003752ED" w:rsidRDefault="00000000">
            <w:r>
              <w:rPr>
                <w:b/>
                <w:bCs/>
                <w:sz w:val="20"/>
                <w:szCs w:val="20"/>
              </w:rPr>
              <w:t>Classes</w:t>
            </w:r>
          </w:p>
        </w:tc>
        <w:tc>
          <w:tcPr>
            <w:tcW w:w="3480" w:type="dxa"/>
            <w:shd w:val="clear" w:color="auto" w:fill="EAF2FC"/>
            <w:tcMar>
              <w:top w:w="100" w:type="dxa"/>
              <w:left w:w="120" w:type="dxa"/>
              <w:bottom w:w="100" w:type="dxa"/>
              <w:right w:w="120" w:type="dxa"/>
            </w:tcMar>
            <w:vAlign w:val="center"/>
          </w:tcPr>
          <w:p w14:paraId="6F92D897" w14:textId="77777777" w:rsidR="003752ED" w:rsidRDefault="00000000">
            <w:proofErr w:type="spellStart"/>
            <w:r>
              <w:rPr>
                <w:sz w:val="20"/>
                <w:szCs w:val="20"/>
              </w:rPr>
              <w:t>PascalCase</w:t>
            </w:r>
            <w:proofErr w:type="spellEnd"/>
          </w:p>
        </w:tc>
        <w:tc>
          <w:tcPr>
            <w:tcW w:w="3480" w:type="dxa"/>
            <w:shd w:val="clear" w:color="auto" w:fill="EAF2FC"/>
            <w:tcMar>
              <w:top w:w="100" w:type="dxa"/>
              <w:left w:w="120" w:type="dxa"/>
              <w:bottom w:w="100" w:type="dxa"/>
              <w:right w:w="120" w:type="dxa"/>
            </w:tcMar>
            <w:vAlign w:val="center"/>
          </w:tcPr>
          <w:p w14:paraId="6F8C0B45" w14:textId="77777777" w:rsidR="003752ED" w:rsidRDefault="00000000">
            <w:proofErr w:type="spellStart"/>
            <w:r>
              <w:rPr>
                <w:sz w:val="20"/>
                <w:szCs w:val="20"/>
              </w:rPr>
              <w:t>UsersController</w:t>
            </w:r>
            <w:proofErr w:type="spellEnd"/>
          </w:p>
        </w:tc>
      </w:tr>
      <w:tr w:rsidR="003752ED" w14:paraId="5C153CAD"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3EC10B8" w14:textId="77777777" w:rsidR="003752ED" w:rsidRDefault="00000000">
            <w:r>
              <w:rPr>
                <w:b/>
                <w:bCs/>
                <w:sz w:val="20"/>
                <w:szCs w:val="20"/>
              </w:rPr>
              <w:t>Variables</w:t>
            </w:r>
          </w:p>
        </w:tc>
        <w:tc>
          <w:tcPr>
            <w:tcW w:w="3480" w:type="dxa"/>
            <w:shd w:val="clear" w:color="auto" w:fill="FFFFFF"/>
            <w:tcMar>
              <w:top w:w="100" w:type="dxa"/>
              <w:left w:w="120" w:type="dxa"/>
              <w:bottom w:w="100" w:type="dxa"/>
              <w:right w:w="120" w:type="dxa"/>
            </w:tcMar>
            <w:vAlign w:val="center"/>
          </w:tcPr>
          <w:p w14:paraId="624A1558" w14:textId="77777777" w:rsidR="003752ED" w:rsidRDefault="00000000">
            <w:proofErr w:type="spellStart"/>
            <w:r>
              <w:rPr>
                <w:sz w:val="20"/>
                <w:szCs w:val="20"/>
              </w:rPr>
              <w:t>snake_case</w:t>
            </w:r>
            <w:proofErr w:type="spellEnd"/>
          </w:p>
        </w:tc>
        <w:tc>
          <w:tcPr>
            <w:tcW w:w="3480" w:type="dxa"/>
            <w:shd w:val="clear" w:color="auto" w:fill="FFFFFF"/>
            <w:tcMar>
              <w:top w:w="100" w:type="dxa"/>
              <w:left w:w="120" w:type="dxa"/>
              <w:bottom w:w="100" w:type="dxa"/>
              <w:right w:w="120" w:type="dxa"/>
            </w:tcMar>
            <w:vAlign w:val="center"/>
          </w:tcPr>
          <w:p w14:paraId="4F21BB24" w14:textId="77777777" w:rsidR="003752ED" w:rsidRDefault="00000000">
            <w:proofErr w:type="spellStart"/>
            <w:r>
              <w:rPr>
                <w:sz w:val="20"/>
                <w:szCs w:val="20"/>
              </w:rPr>
              <w:t>var_user_id</w:t>
            </w:r>
            <w:proofErr w:type="spellEnd"/>
          </w:p>
        </w:tc>
      </w:tr>
      <w:tr w:rsidR="003752ED" w14:paraId="27BE1452"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35C5A891" w14:textId="77777777" w:rsidR="003752ED" w:rsidRDefault="00000000">
            <w:r>
              <w:rPr>
                <w:b/>
                <w:bCs/>
                <w:sz w:val="20"/>
                <w:szCs w:val="20"/>
              </w:rPr>
              <w:t>Return variables</w:t>
            </w:r>
          </w:p>
        </w:tc>
        <w:tc>
          <w:tcPr>
            <w:tcW w:w="3480" w:type="dxa"/>
            <w:shd w:val="clear" w:color="auto" w:fill="EAF2FC"/>
            <w:tcMar>
              <w:top w:w="100" w:type="dxa"/>
              <w:left w:w="120" w:type="dxa"/>
              <w:bottom w:w="100" w:type="dxa"/>
              <w:right w:w="120" w:type="dxa"/>
            </w:tcMar>
            <w:vAlign w:val="center"/>
          </w:tcPr>
          <w:p w14:paraId="7AE095D8" w14:textId="77777777" w:rsidR="003752ED" w:rsidRDefault="00000000">
            <w:r>
              <w:rPr>
                <w:sz w:val="20"/>
                <w:szCs w:val="20"/>
              </w:rPr>
              <w:t>var_ prefix</w:t>
            </w:r>
          </w:p>
        </w:tc>
        <w:tc>
          <w:tcPr>
            <w:tcW w:w="3480" w:type="dxa"/>
            <w:shd w:val="clear" w:color="auto" w:fill="EAF2FC"/>
            <w:tcMar>
              <w:top w:w="100" w:type="dxa"/>
              <w:left w:w="120" w:type="dxa"/>
              <w:bottom w:w="100" w:type="dxa"/>
              <w:right w:w="120" w:type="dxa"/>
            </w:tcMar>
            <w:vAlign w:val="center"/>
          </w:tcPr>
          <w:p w14:paraId="14E17123" w14:textId="77777777" w:rsidR="003752ED" w:rsidRDefault="00000000">
            <w:proofErr w:type="spellStart"/>
            <w:r>
              <w:rPr>
                <w:sz w:val="20"/>
                <w:szCs w:val="20"/>
              </w:rPr>
              <w:t>var_user_name</w:t>
            </w:r>
            <w:proofErr w:type="spellEnd"/>
          </w:p>
        </w:tc>
      </w:tr>
      <w:tr w:rsidR="003752ED" w14:paraId="67EB9AC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21E6801" w14:textId="77777777" w:rsidR="003752ED" w:rsidRDefault="00000000">
            <w:r>
              <w:rPr>
                <w:b/>
                <w:bCs/>
                <w:sz w:val="20"/>
                <w:szCs w:val="20"/>
              </w:rPr>
              <w:t>Temporary variables</w:t>
            </w:r>
          </w:p>
        </w:tc>
        <w:tc>
          <w:tcPr>
            <w:tcW w:w="3480" w:type="dxa"/>
            <w:shd w:val="clear" w:color="auto" w:fill="FFFFFF"/>
            <w:tcMar>
              <w:top w:w="100" w:type="dxa"/>
              <w:left w:w="120" w:type="dxa"/>
              <w:bottom w:w="100" w:type="dxa"/>
              <w:right w:w="120" w:type="dxa"/>
            </w:tcMar>
            <w:vAlign w:val="center"/>
          </w:tcPr>
          <w:p w14:paraId="2388BC84" w14:textId="77777777" w:rsidR="003752ED" w:rsidRDefault="00000000">
            <w:proofErr w:type="spellStart"/>
            <w:r>
              <w:rPr>
                <w:sz w:val="20"/>
                <w:szCs w:val="20"/>
              </w:rPr>
              <w:t>temp_var</w:t>
            </w:r>
            <w:proofErr w:type="spellEnd"/>
            <w:r>
              <w:rPr>
                <w:sz w:val="20"/>
                <w:szCs w:val="20"/>
              </w:rPr>
              <w:t>_ prefix</w:t>
            </w:r>
          </w:p>
        </w:tc>
        <w:tc>
          <w:tcPr>
            <w:tcW w:w="3480" w:type="dxa"/>
            <w:shd w:val="clear" w:color="auto" w:fill="FFFFFF"/>
            <w:tcMar>
              <w:top w:w="100" w:type="dxa"/>
              <w:left w:w="120" w:type="dxa"/>
              <w:bottom w:w="100" w:type="dxa"/>
              <w:right w:w="120" w:type="dxa"/>
            </w:tcMar>
            <w:vAlign w:val="center"/>
          </w:tcPr>
          <w:p w14:paraId="4FB4D8BD" w14:textId="77777777" w:rsidR="003752ED" w:rsidRDefault="00000000">
            <w:proofErr w:type="spellStart"/>
            <w:r>
              <w:rPr>
                <w:sz w:val="20"/>
                <w:szCs w:val="20"/>
              </w:rPr>
              <w:t>temp_var_user_id</w:t>
            </w:r>
            <w:proofErr w:type="spellEnd"/>
          </w:p>
        </w:tc>
      </w:tr>
      <w:tr w:rsidR="003752ED" w14:paraId="3937BD3B"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549CE4FC" w14:textId="77777777" w:rsidR="003752ED" w:rsidRDefault="00000000">
            <w:r>
              <w:rPr>
                <w:b/>
                <w:bCs/>
                <w:sz w:val="20"/>
                <w:szCs w:val="20"/>
              </w:rPr>
              <w:t>Constants</w:t>
            </w:r>
          </w:p>
        </w:tc>
        <w:tc>
          <w:tcPr>
            <w:tcW w:w="3480" w:type="dxa"/>
            <w:shd w:val="clear" w:color="auto" w:fill="EAF2FC"/>
            <w:tcMar>
              <w:top w:w="100" w:type="dxa"/>
              <w:left w:w="120" w:type="dxa"/>
              <w:bottom w:w="100" w:type="dxa"/>
              <w:right w:w="120" w:type="dxa"/>
            </w:tcMar>
            <w:vAlign w:val="center"/>
          </w:tcPr>
          <w:p w14:paraId="22096F97" w14:textId="77777777" w:rsidR="003752ED" w:rsidRDefault="00000000">
            <w:r>
              <w:rPr>
                <w:sz w:val="20"/>
                <w:szCs w:val="20"/>
              </w:rPr>
              <w:t>SCREAMING_SNAKE_CASE</w:t>
            </w:r>
          </w:p>
        </w:tc>
        <w:tc>
          <w:tcPr>
            <w:tcW w:w="3480" w:type="dxa"/>
            <w:shd w:val="clear" w:color="auto" w:fill="EAF2FC"/>
            <w:tcMar>
              <w:top w:w="100" w:type="dxa"/>
              <w:left w:w="120" w:type="dxa"/>
              <w:bottom w:w="100" w:type="dxa"/>
              <w:right w:w="120" w:type="dxa"/>
            </w:tcMar>
            <w:vAlign w:val="center"/>
          </w:tcPr>
          <w:p w14:paraId="5F0AB7BD" w14:textId="77777777" w:rsidR="003752ED" w:rsidRDefault="00000000">
            <w:r>
              <w:rPr>
                <w:sz w:val="20"/>
                <w:szCs w:val="20"/>
              </w:rPr>
              <w:t>DB_HOST, DB_PORT</w:t>
            </w:r>
          </w:p>
        </w:tc>
      </w:tr>
      <w:tr w:rsidR="003752ED" w14:paraId="6D5C8734"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A6345AB" w14:textId="77777777" w:rsidR="003752ED" w:rsidRDefault="00000000">
            <w:r>
              <w:rPr>
                <w:b/>
                <w:bCs/>
                <w:sz w:val="20"/>
                <w:szCs w:val="20"/>
              </w:rPr>
              <w:t>Functions</w:t>
            </w:r>
          </w:p>
        </w:tc>
        <w:tc>
          <w:tcPr>
            <w:tcW w:w="3480" w:type="dxa"/>
            <w:shd w:val="clear" w:color="auto" w:fill="FFFFFF"/>
            <w:tcMar>
              <w:top w:w="100" w:type="dxa"/>
              <w:left w:w="120" w:type="dxa"/>
              <w:bottom w:w="100" w:type="dxa"/>
              <w:right w:w="120" w:type="dxa"/>
            </w:tcMar>
            <w:vAlign w:val="center"/>
          </w:tcPr>
          <w:p w14:paraId="3D7484AB" w14:textId="77777777" w:rsidR="003752ED" w:rsidRDefault="00000000">
            <w:proofErr w:type="spellStart"/>
            <w:r>
              <w:rPr>
                <w:sz w:val="20"/>
                <w:szCs w:val="20"/>
              </w:rPr>
              <w:t>snake_case</w:t>
            </w:r>
            <w:proofErr w:type="spellEnd"/>
            <w:r>
              <w:rPr>
                <w:sz w:val="20"/>
                <w:szCs w:val="20"/>
              </w:rPr>
              <w:t xml:space="preserve">, </w:t>
            </w:r>
            <w:proofErr w:type="spellStart"/>
            <w:r>
              <w:rPr>
                <w:sz w:val="20"/>
                <w:szCs w:val="20"/>
              </w:rPr>
              <w:t>fn</w:t>
            </w:r>
            <w:proofErr w:type="spellEnd"/>
            <w:r>
              <w:rPr>
                <w:sz w:val="20"/>
                <w:szCs w:val="20"/>
              </w:rPr>
              <w:t>_ prefix</w:t>
            </w:r>
          </w:p>
        </w:tc>
        <w:tc>
          <w:tcPr>
            <w:tcW w:w="3480" w:type="dxa"/>
            <w:shd w:val="clear" w:color="auto" w:fill="FFFFFF"/>
            <w:tcMar>
              <w:top w:w="100" w:type="dxa"/>
              <w:left w:w="120" w:type="dxa"/>
              <w:bottom w:w="100" w:type="dxa"/>
              <w:right w:w="120" w:type="dxa"/>
            </w:tcMar>
            <w:vAlign w:val="center"/>
          </w:tcPr>
          <w:p w14:paraId="3A125BE7" w14:textId="77777777" w:rsidR="003752ED" w:rsidRDefault="00000000">
            <w:proofErr w:type="spellStart"/>
            <w:r>
              <w:rPr>
                <w:sz w:val="20"/>
                <w:szCs w:val="20"/>
              </w:rPr>
              <w:t>fn_get_users</w:t>
            </w:r>
            <w:proofErr w:type="spellEnd"/>
          </w:p>
        </w:tc>
      </w:tr>
      <w:tr w:rsidR="003752ED" w14:paraId="341B6D72" w14:textId="77777777">
        <w:tblPrEx>
          <w:tblCellMar>
            <w:top w:w="0" w:type="dxa"/>
            <w:bottom w:w="0" w:type="dxa"/>
          </w:tblCellMar>
        </w:tblPrEx>
        <w:tc>
          <w:tcPr>
            <w:tcW w:w="2400" w:type="dxa"/>
            <w:shd w:val="clear" w:color="auto" w:fill="EAF2FC"/>
            <w:tcMar>
              <w:top w:w="100" w:type="dxa"/>
              <w:left w:w="120" w:type="dxa"/>
              <w:bottom w:w="100" w:type="dxa"/>
              <w:right w:w="120" w:type="dxa"/>
            </w:tcMar>
            <w:vAlign w:val="center"/>
          </w:tcPr>
          <w:p w14:paraId="11BBD160" w14:textId="77777777" w:rsidR="003752ED" w:rsidRDefault="00000000">
            <w:r>
              <w:rPr>
                <w:b/>
                <w:bCs/>
                <w:sz w:val="20"/>
                <w:szCs w:val="20"/>
              </w:rPr>
              <w:t>Helper functions</w:t>
            </w:r>
          </w:p>
        </w:tc>
        <w:tc>
          <w:tcPr>
            <w:tcW w:w="3480" w:type="dxa"/>
            <w:shd w:val="clear" w:color="auto" w:fill="EAF2FC"/>
            <w:tcMar>
              <w:top w:w="100" w:type="dxa"/>
              <w:left w:w="120" w:type="dxa"/>
              <w:bottom w:w="100" w:type="dxa"/>
              <w:right w:w="120" w:type="dxa"/>
            </w:tcMar>
            <w:vAlign w:val="center"/>
          </w:tcPr>
          <w:p w14:paraId="6D5C1089" w14:textId="77777777" w:rsidR="003752ED" w:rsidRDefault="00000000">
            <w:proofErr w:type="spellStart"/>
            <w:r>
              <w:rPr>
                <w:sz w:val="20"/>
                <w:szCs w:val="20"/>
              </w:rPr>
              <w:t>help_fn</w:t>
            </w:r>
            <w:proofErr w:type="spellEnd"/>
            <w:r>
              <w:rPr>
                <w:sz w:val="20"/>
                <w:szCs w:val="20"/>
              </w:rPr>
              <w:t>_ prefix</w:t>
            </w:r>
          </w:p>
        </w:tc>
        <w:tc>
          <w:tcPr>
            <w:tcW w:w="3480" w:type="dxa"/>
            <w:shd w:val="clear" w:color="auto" w:fill="EAF2FC"/>
            <w:tcMar>
              <w:top w:w="100" w:type="dxa"/>
              <w:left w:w="120" w:type="dxa"/>
              <w:bottom w:w="100" w:type="dxa"/>
              <w:right w:w="120" w:type="dxa"/>
            </w:tcMar>
            <w:vAlign w:val="center"/>
          </w:tcPr>
          <w:p w14:paraId="7FF34E9A" w14:textId="77777777" w:rsidR="003752ED" w:rsidRDefault="00000000">
            <w:proofErr w:type="spellStart"/>
            <w:r>
              <w:rPr>
                <w:sz w:val="20"/>
                <w:szCs w:val="20"/>
              </w:rPr>
              <w:t>help_fn_create_user</w:t>
            </w:r>
            <w:proofErr w:type="spellEnd"/>
          </w:p>
        </w:tc>
      </w:tr>
    </w:tbl>
    <w:p w14:paraId="1B427FDD" w14:textId="77777777" w:rsidR="003752ED" w:rsidRDefault="003752ED">
      <w:pPr>
        <w:spacing w:after="160"/>
      </w:pPr>
    </w:p>
    <w:p w14:paraId="613005C5" w14:textId="77777777" w:rsidR="003752ED" w:rsidRDefault="00000000">
      <w:pPr>
        <w:pStyle w:val="Heading2"/>
        <w:spacing w:before="320" w:after="140"/>
      </w:pPr>
      <w:proofErr w:type="gramStart"/>
      <w:r>
        <w:rPr>
          <w:b/>
          <w:bCs/>
          <w:color w:val="2E5395"/>
          <w:sz w:val="25"/>
          <w:szCs w:val="25"/>
        </w:rPr>
        <w:t>2.4  Resiliency</w:t>
      </w:r>
      <w:proofErr w:type="gramEnd"/>
      <w:r>
        <w:rPr>
          <w:b/>
          <w:bCs/>
          <w:color w:val="2E5395"/>
          <w:sz w:val="25"/>
          <w:szCs w:val="25"/>
        </w:rPr>
        <w:t xml:space="preserve"> &amp; Error Handling</w:t>
      </w:r>
    </w:p>
    <w:p w14:paraId="0A5A3129" w14:textId="77777777" w:rsidR="003752ED" w:rsidRDefault="00000000">
      <w:pPr>
        <w:spacing w:after="160" w:line="276" w:lineRule="auto"/>
      </w:pPr>
      <w:r>
        <w:t>Standard: the application degrades gracefully instead of crashing outright when a dependency fails.</w:t>
      </w:r>
    </w:p>
    <w:p w14:paraId="411C9629" w14:textId="77777777" w:rsidR="003752ED" w:rsidRDefault="00000000">
      <w:pPr>
        <w:pStyle w:val="ListParagraph"/>
        <w:numPr>
          <w:ilvl w:val="0"/>
          <w:numId w:val="2"/>
        </w:numPr>
        <w:spacing w:after="100"/>
      </w:pPr>
      <w:r>
        <w:rPr>
          <w:b/>
          <w:bCs/>
          <w:color w:val="1A2F5C"/>
        </w:rPr>
        <w:t xml:space="preserve">Frontend — </w:t>
      </w:r>
      <w:r>
        <w:t>API layer centralises error handling so failed requests surface a consistent, user-safe message.</w:t>
      </w:r>
    </w:p>
    <w:p w14:paraId="00B97971" w14:textId="77777777" w:rsidR="003752ED" w:rsidRDefault="00000000">
      <w:pPr>
        <w:pStyle w:val="ListParagraph"/>
        <w:numPr>
          <w:ilvl w:val="0"/>
          <w:numId w:val="2"/>
        </w:numPr>
        <w:spacing w:after="100"/>
      </w:pPr>
      <w:r>
        <w:rPr>
          <w:b/>
          <w:bCs/>
          <w:color w:val="1A2F5C"/>
        </w:rPr>
        <w:t xml:space="preserve">Backend — </w:t>
      </w:r>
      <w:r>
        <w:t>try/except blocks around I/O and external calls; errors are translated into consistent API responses rather than leaking stack traces.</w:t>
      </w:r>
    </w:p>
    <w:p w14:paraId="66748FA8" w14:textId="77777777" w:rsidR="003752ED" w:rsidRDefault="003752ED">
      <w:pPr>
        <w:spacing w:after="160"/>
      </w:pPr>
    </w:p>
    <w:p w14:paraId="20B8154C" w14:textId="77777777" w:rsidR="003752ED" w:rsidRDefault="00000000">
      <w:pPr>
        <w:pStyle w:val="Heading2"/>
        <w:spacing w:before="320" w:after="140"/>
      </w:pPr>
      <w:proofErr w:type="gramStart"/>
      <w:r>
        <w:rPr>
          <w:b/>
          <w:bCs/>
          <w:color w:val="2E5395"/>
          <w:sz w:val="25"/>
          <w:szCs w:val="25"/>
        </w:rPr>
        <w:t>2.5  Security</w:t>
      </w:r>
      <w:proofErr w:type="gramEnd"/>
      <w:r>
        <w:rPr>
          <w:b/>
          <w:bCs/>
          <w:color w:val="2E5395"/>
          <w:sz w:val="25"/>
          <w:szCs w:val="25"/>
        </w:rPr>
        <w:t xml:space="preserve"> &amp; Access Control</w:t>
      </w:r>
    </w:p>
    <w:p w14:paraId="5115CDD0" w14:textId="77777777" w:rsidR="003752ED" w:rsidRDefault="00000000">
      <w:pPr>
        <w:spacing w:after="160" w:line="276" w:lineRule="auto"/>
      </w:pPr>
      <w:r>
        <w:t>Standard: least-privilege access; secrets are never hard-coded or committed.</w:t>
      </w:r>
    </w:p>
    <w:p w14:paraId="4C859029" w14:textId="77777777" w:rsidR="003752ED" w:rsidRDefault="00000000">
      <w:pPr>
        <w:pStyle w:val="ListParagraph"/>
        <w:numPr>
          <w:ilvl w:val="0"/>
          <w:numId w:val="2"/>
        </w:numPr>
        <w:spacing w:after="100"/>
      </w:pPr>
      <w:r>
        <w:rPr>
          <w:b/>
          <w:bCs/>
          <w:color w:val="1A2F5C"/>
        </w:rPr>
        <w:t xml:space="preserve">Frontend — </w:t>
      </w:r>
      <w:r>
        <w:t>auth/ owns session and token handling; guarded routes prevent unauthorised UI access.</w:t>
      </w:r>
    </w:p>
    <w:p w14:paraId="3AF84871" w14:textId="77777777" w:rsidR="003752ED" w:rsidRDefault="00000000">
      <w:pPr>
        <w:pStyle w:val="ListParagraph"/>
        <w:numPr>
          <w:ilvl w:val="0"/>
          <w:numId w:val="2"/>
        </w:numPr>
        <w:spacing w:after="100"/>
      </w:pPr>
      <w:r>
        <w:rPr>
          <w:b/>
          <w:bCs/>
          <w:color w:val="1A2F5C"/>
        </w:rPr>
        <w:t xml:space="preserve">Backend — </w:t>
      </w:r>
      <w:r>
        <w:t xml:space="preserve">Credentials are environment-driven </w:t>
      </w:r>
      <w:proofErr w:type="gramStart"/>
      <w:r>
        <w:t>(.env</w:t>
      </w:r>
      <w:proofErr w:type="gramEnd"/>
      <w:r>
        <w:t>, excluded from version control); DB access is scoped to the repository layer only.</w:t>
      </w:r>
    </w:p>
    <w:p w14:paraId="61FFDED5" w14:textId="77777777" w:rsidR="003752ED" w:rsidRDefault="003752ED">
      <w:pPr>
        <w:spacing w:after="160"/>
      </w:pPr>
    </w:p>
    <w:p w14:paraId="30146BAB" w14:textId="77777777" w:rsidR="003752ED" w:rsidRDefault="00000000">
      <w:pPr>
        <w:pStyle w:val="Heading2"/>
        <w:spacing w:before="320" w:after="140"/>
      </w:pPr>
      <w:proofErr w:type="gramStart"/>
      <w:r>
        <w:rPr>
          <w:b/>
          <w:bCs/>
          <w:color w:val="2E5395"/>
          <w:sz w:val="25"/>
          <w:szCs w:val="25"/>
        </w:rPr>
        <w:t>2.6  Observability</w:t>
      </w:r>
      <w:proofErr w:type="gramEnd"/>
      <w:r>
        <w:rPr>
          <w:b/>
          <w:bCs/>
          <w:color w:val="2E5395"/>
          <w:sz w:val="25"/>
          <w:szCs w:val="25"/>
        </w:rPr>
        <w:t xml:space="preserve"> &amp; Logging</w:t>
      </w:r>
    </w:p>
    <w:p w14:paraId="1A73543E" w14:textId="77777777" w:rsidR="003752ED" w:rsidRDefault="00000000">
      <w:pPr>
        <w:spacing w:after="160" w:line="276" w:lineRule="auto"/>
      </w:pPr>
      <w:r>
        <w:t>Standard: meaningful runtime events are captured to diagnose issues without reproducing them locally.</w:t>
      </w:r>
    </w:p>
    <w:p w14:paraId="55738F30" w14:textId="77777777" w:rsidR="003752ED" w:rsidRDefault="00000000">
      <w:pPr>
        <w:pStyle w:val="ListParagraph"/>
        <w:numPr>
          <w:ilvl w:val="0"/>
          <w:numId w:val="2"/>
        </w:numPr>
        <w:spacing w:after="100"/>
      </w:pPr>
      <w:r>
        <w:rPr>
          <w:b/>
          <w:bCs/>
          <w:color w:val="1A2F5C"/>
        </w:rPr>
        <w:t xml:space="preserve">Frontend — </w:t>
      </w:r>
      <w:r>
        <w:t>Client-side errors and key user actions should be logged/traced centrally (recommended next step — see Section 3.3).</w:t>
      </w:r>
    </w:p>
    <w:p w14:paraId="4D48F4E9" w14:textId="77777777" w:rsidR="003752ED" w:rsidRDefault="00000000">
      <w:pPr>
        <w:pStyle w:val="ListParagraph"/>
        <w:numPr>
          <w:ilvl w:val="0"/>
          <w:numId w:val="2"/>
        </w:numPr>
        <w:spacing w:after="100"/>
      </w:pPr>
      <w:r>
        <w:rPr>
          <w:b/>
          <w:bCs/>
          <w:color w:val="1A2F5C"/>
        </w:rPr>
        <w:t xml:space="preserve">Backend — </w:t>
      </w:r>
      <w:r>
        <w:t>Each module maintains a change tracker; structured logging around service/agent execution is recommended for production readiness.</w:t>
      </w:r>
    </w:p>
    <w:p w14:paraId="02E86BA2" w14:textId="77777777" w:rsidR="003752ED" w:rsidRDefault="003752ED">
      <w:pPr>
        <w:spacing w:after="160"/>
      </w:pPr>
    </w:p>
    <w:p w14:paraId="2975E94A" w14:textId="77777777" w:rsidR="003752ED" w:rsidRDefault="00000000">
      <w:pPr>
        <w:pStyle w:val="Heading2"/>
        <w:spacing w:before="320" w:after="140"/>
      </w:pPr>
      <w:proofErr w:type="gramStart"/>
      <w:r>
        <w:rPr>
          <w:b/>
          <w:bCs/>
          <w:color w:val="2E5395"/>
          <w:sz w:val="25"/>
          <w:szCs w:val="25"/>
        </w:rPr>
        <w:t>2.7  Maintainability</w:t>
      </w:r>
      <w:proofErr w:type="gramEnd"/>
      <w:r>
        <w:rPr>
          <w:b/>
          <w:bCs/>
          <w:color w:val="2E5395"/>
          <w:sz w:val="25"/>
          <w:szCs w:val="25"/>
        </w:rPr>
        <w:t xml:space="preserve"> &amp; Documentation</w:t>
      </w:r>
    </w:p>
    <w:p w14:paraId="2B8381A5" w14:textId="77777777" w:rsidR="003752ED" w:rsidRDefault="00000000">
      <w:pPr>
        <w:spacing w:after="160" w:line="276" w:lineRule="auto"/>
      </w:pPr>
      <w:r>
        <w:t>Standard: code is self-documenting and covered by tests; conventions are written down, not tribal knowledge.</w:t>
      </w:r>
    </w:p>
    <w:p w14:paraId="6F11658A" w14:textId="77777777" w:rsidR="003752ED" w:rsidRDefault="00000000">
      <w:pPr>
        <w:pStyle w:val="ListParagraph"/>
        <w:numPr>
          <w:ilvl w:val="0"/>
          <w:numId w:val="2"/>
        </w:numPr>
        <w:spacing w:after="100"/>
      </w:pPr>
      <w:r>
        <w:rPr>
          <w:b/>
          <w:bCs/>
          <w:color w:val="1A2F5C"/>
        </w:rPr>
        <w:t xml:space="preserve">Frontend — </w:t>
      </w:r>
      <w:r>
        <w:t>tests/ holds unit/integration coverage; naming conventions above keep intent obvious from the name alone.</w:t>
      </w:r>
    </w:p>
    <w:p w14:paraId="09714DBB" w14:textId="77777777" w:rsidR="003752ED" w:rsidRDefault="00000000">
      <w:pPr>
        <w:pStyle w:val="ListParagraph"/>
        <w:numPr>
          <w:ilvl w:val="0"/>
          <w:numId w:val="2"/>
        </w:numPr>
        <w:spacing w:after="100"/>
      </w:pPr>
      <w:r>
        <w:rPr>
          <w:b/>
          <w:bCs/>
          <w:color w:val="1A2F5C"/>
        </w:rPr>
        <w:lastRenderedPageBreak/>
        <w:t xml:space="preserve">Backend — </w:t>
      </w:r>
      <w:r>
        <w:t>Docstrings on functions/classes, descriptive commit messages, and a maintained nomenclature reference (see Backend Nomenclature).</w:t>
      </w:r>
    </w:p>
    <w:p w14:paraId="5ABFB64E" w14:textId="77777777" w:rsidR="003752ED" w:rsidRDefault="00000000">
      <w:r>
        <w:br w:type="page"/>
      </w:r>
    </w:p>
    <w:p w14:paraId="07C1B118" w14:textId="77777777" w:rsidR="003752ED" w:rsidRDefault="00000000">
      <w:pPr>
        <w:pStyle w:val="Heading1"/>
        <w:pBdr>
          <w:bottom w:val="single" w:sz="8" w:space="4" w:color="2E5395"/>
        </w:pBdr>
        <w:spacing w:before="480" w:after="200"/>
      </w:pPr>
      <w:r>
        <w:rPr>
          <w:b/>
          <w:bCs/>
          <w:color w:val="1A2F5C"/>
        </w:rPr>
        <w:lastRenderedPageBreak/>
        <w:t xml:space="preserve">3.  Considerations &amp; </w:t>
      </w:r>
      <w:proofErr w:type="spellStart"/>
      <w:r>
        <w:rPr>
          <w:b/>
          <w:bCs/>
          <w:color w:val="1A2F5C"/>
        </w:rPr>
        <w:t>Tradeoffs</w:t>
      </w:r>
      <w:proofErr w:type="spellEnd"/>
    </w:p>
    <w:p w14:paraId="2CB3A8A2" w14:textId="77777777" w:rsidR="003752ED" w:rsidRDefault="00000000">
      <w:pPr>
        <w:spacing w:after="160" w:line="276" w:lineRule="auto"/>
      </w:pPr>
      <w:r>
        <w:t xml:space="preserve">This section captures the deliberate </w:t>
      </w:r>
      <w:proofErr w:type="spellStart"/>
      <w:r>
        <w:t>tradeoffs</w:t>
      </w:r>
      <w:proofErr w:type="spellEnd"/>
      <w:r>
        <w:t xml:space="preserve"> behind the current structure, and the open items future contributors should be aware of.</w:t>
      </w:r>
    </w:p>
    <w:p w14:paraId="03590A33" w14:textId="77777777" w:rsidR="003752ED" w:rsidRDefault="00000000">
      <w:pPr>
        <w:pStyle w:val="Heading2"/>
        <w:spacing w:before="320" w:after="140"/>
      </w:pPr>
      <w:proofErr w:type="gramStart"/>
      <w:r>
        <w:rPr>
          <w:b/>
          <w:bCs/>
          <w:color w:val="2E5395"/>
          <w:sz w:val="25"/>
          <w:szCs w:val="25"/>
        </w:rPr>
        <w:t>3.1  Frontend</w:t>
      </w:r>
      <w:proofErr w:type="gramEnd"/>
      <w:r>
        <w:rPr>
          <w:b/>
          <w:bCs/>
          <w:color w:val="2E5395"/>
          <w:sz w:val="25"/>
          <w:szCs w:val="25"/>
        </w:rPr>
        <w:t xml:space="preserve"> Considerations</w:t>
      </w:r>
    </w:p>
    <w:p w14:paraId="09E8F49D" w14:textId="77777777" w:rsidR="003752ED" w:rsidRDefault="00000000">
      <w:pPr>
        <w:pStyle w:val="Heading3"/>
        <w:spacing w:before="220" w:after="100"/>
      </w:pPr>
      <w:r>
        <w:rPr>
          <w:b/>
          <w:bCs/>
          <w:color w:val="1A2740"/>
          <w:sz w:val="22"/>
          <w:szCs w:val="22"/>
        </w:rPr>
        <w:t>Feature-based vs. layer-based folders</w:t>
      </w:r>
    </w:p>
    <w:p w14:paraId="48FCD359"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features/ groups by capability (fast to extend, some duplication across features) vs. a pure layered structure (less duplication, more cross-file jumping).</w:t>
      </w:r>
    </w:p>
    <w:p w14:paraId="2644CC88" w14:textId="77777777" w:rsidR="003752ED" w:rsidRDefault="00000000">
      <w:pPr>
        <w:pStyle w:val="ListParagraph"/>
        <w:numPr>
          <w:ilvl w:val="0"/>
          <w:numId w:val="2"/>
        </w:numPr>
        <w:spacing w:after="100"/>
      </w:pPr>
      <w:r>
        <w:rPr>
          <w:b/>
          <w:bCs/>
          <w:color w:val="1A2F5C"/>
        </w:rPr>
        <w:t xml:space="preserve">Recommendation — </w:t>
      </w:r>
      <w:r>
        <w:t>Keep feature-based grouping; move truly shared logic into components/ or a shared/ utility as it emerges.</w:t>
      </w:r>
    </w:p>
    <w:p w14:paraId="38675705" w14:textId="77777777" w:rsidR="003752ED" w:rsidRDefault="00000000">
      <w:pPr>
        <w:pStyle w:val="Heading3"/>
        <w:spacing w:before="220" w:after="100"/>
      </w:pPr>
      <w:r>
        <w:rPr>
          <w:b/>
          <w:bCs/>
          <w:color w:val="1A2740"/>
          <w:sz w:val="22"/>
          <w:szCs w:val="22"/>
        </w:rPr>
        <w:t>dummy/ mock data</w:t>
      </w:r>
    </w:p>
    <w:p w14:paraId="6F823DF2"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Speeds up UI development without a live backend, but risks drifting out of sync with real API contracts.</w:t>
      </w:r>
    </w:p>
    <w:p w14:paraId="728F52AA" w14:textId="77777777" w:rsidR="003752ED" w:rsidRDefault="00000000">
      <w:pPr>
        <w:pStyle w:val="ListParagraph"/>
        <w:numPr>
          <w:ilvl w:val="0"/>
          <w:numId w:val="2"/>
        </w:numPr>
        <w:spacing w:after="100"/>
      </w:pPr>
      <w:r>
        <w:rPr>
          <w:b/>
          <w:bCs/>
          <w:color w:val="1A2F5C"/>
        </w:rPr>
        <w:t xml:space="preserve">Recommendation — </w:t>
      </w:r>
      <w:r>
        <w:t>Generate dummy data from the same types/schemas used for real API responses.</w:t>
      </w:r>
    </w:p>
    <w:p w14:paraId="7F63375E" w14:textId="77777777" w:rsidR="003752ED" w:rsidRDefault="00000000">
      <w:pPr>
        <w:pStyle w:val="Heading3"/>
        <w:spacing w:before="220" w:after="100"/>
      </w:pPr>
      <w:r>
        <w:rPr>
          <w:b/>
          <w:bCs/>
          <w:color w:val="1A2740"/>
          <w:sz w:val="22"/>
          <w:szCs w:val="22"/>
        </w:rPr>
        <w:t>Centralised store vs. local state</w:t>
      </w:r>
    </w:p>
    <w:p w14:paraId="1C501BD8"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A single store simplifies cross-feature state sharing but can become a bottleneck if over-used for local-only UI state.</w:t>
      </w:r>
    </w:p>
    <w:p w14:paraId="4848E956" w14:textId="77777777" w:rsidR="003752ED" w:rsidRDefault="00000000">
      <w:pPr>
        <w:pStyle w:val="ListParagraph"/>
        <w:numPr>
          <w:ilvl w:val="0"/>
          <w:numId w:val="2"/>
        </w:numPr>
        <w:spacing w:after="100"/>
      </w:pPr>
      <w:r>
        <w:rPr>
          <w:b/>
          <w:bCs/>
          <w:color w:val="1A2F5C"/>
        </w:rPr>
        <w:t xml:space="preserve">Recommendation — </w:t>
      </w:r>
      <w:r>
        <w:t>Reserve store/ for state that is genuinely shared; keep component-local state in the component.</w:t>
      </w:r>
    </w:p>
    <w:p w14:paraId="302C671A" w14:textId="77777777" w:rsidR="003752ED" w:rsidRDefault="00000000">
      <w:pPr>
        <w:pStyle w:val="Heading3"/>
        <w:spacing w:before="220" w:after="100"/>
      </w:pPr>
      <w:r>
        <w:rPr>
          <w:b/>
          <w:bCs/>
          <w:color w:val="1A2740"/>
          <w:sz w:val="22"/>
          <w:szCs w:val="22"/>
        </w:rPr>
        <w:t>Testing coverage</w:t>
      </w:r>
    </w:p>
    <w:p w14:paraId="327C28A3"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tests/ exists as a top-level folder; coverage depth was not visible from the current structure alone.</w:t>
      </w:r>
    </w:p>
    <w:p w14:paraId="602FC709" w14:textId="77777777" w:rsidR="003752ED" w:rsidRDefault="00000000">
      <w:pPr>
        <w:pStyle w:val="ListParagraph"/>
        <w:numPr>
          <w:ilvl w:val="0"/>
          <w:numId w:val="2"/>
        </w:numPr>
        <w:spacing w:after="100"/>
      </w:pPr>
      <w:r>
        <w:rPr>
          <w:b/>
          <w:bCs/>
          <w:color w:val="1A2F5C"/>
        </w:rPr>
        <w:t xml:space="preserve">Recommendation — </w:t>
      </w:r>
      <w:r>
        <w:t>Track coverage explicitly and gate merges on a minimum threshold.</w:t>
      </w:r>
    </w:p>
    <w:p w14:paraId="23F38B99" w14:textId="77777777" w:rsidR="003752ED" w:rsidRDefault="003752ED">
      <w:pPr>
        <w:spacing w:after="160"/>
      </w:pPr>
    </w:p>
    <w:p w14:paraId="513F3290" w14:textId="77777777" w:rsidR="003752ED" w:rsidRDefault="00000000">
      <w:pPr>
        <w:pStyle w:val="Heading2"/>
        <w:spacing w:before="320" w:after="140"/>
      </w:pPr>
      <w:proofErr w:type="gramStart"/>
      <w:r>
        <w:rPr>
          <w:b/>
          <w:bCs/>
          <w:color w:val="2E5395"/>
          <w:sz w:val="25"/>
          <w:szCs w:val="25"/>
        </w:rPr>
        <w:t>3.2  Backend</w:t>
      </w:r>
      <w:proofErr w:type="gramEnd"/>
      <w:r>
        <w:rPr>
          <w:b/>
          <w:bCs/>
          <w:color w:val="2E5395"/>
          <w:sz w:val="25"/>
          <w:szCs w:val="25"/>
        </w:rPr>
        <w:t xml:space="preserve"> Considerations</w:t>
      </w:r>
    </w:p>
    <w:p w14:paraId="0083B12F" w14:textId="77777777" w:rsidR="003752ED" w:rsidRDefault="00000000">
      <w:pPr>
        <w:pStyle w:val="Heading3"/>
        <w:spacing w:before="220" w:after="100"/>
      </w:pPr>
      <w:r>
        <w:rPr>
          <w:b/>
          <w:bCs/>
          <w:color w:val="1A2740"/>
          <w:sz w:val="22"/>
          <w:szCs w:val="22"/>
        </w:rPr>
        <w:t>Agent-based structure vs. documented MVC pattern</w:t>
      </w:r>
    </w:p>
    <w:p w14:paraId="5730F6A5"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The Backend Developer Manual describes routers/controllers/middleware/utils; the live codebase uses agents/</w:t>
      </w:r>
      <w:proofErr w:type="spellStart"/>
      <w:r>
        <w:t>api</w:t>
      </w:r>
      <w:proofErr w:type="spellEnd"/>
      <w:r>
        <w:t>/core/repositories/services. The newer structure suits agentic workflows better but the manual is now out of date.</w:t>
      </w:r>
    </w:p>
    <w:p w14:paraId="0C72F5FB" w14:textId="77777777" w:rsidR="003752ED" w:rsidRDefault="00000000">
      <w:pPr>
        <w:pStyle w:val="ListParagraph"/>
        <w:numPr>
          <w:ilvl w:val="0"/>
          <w:numId w:val="2"/>
        </w:numPr>
        <w:spacing w:after="100"/>
      </w:pPr>
      <w:r>
        <w:rPr>
          <w:b/>
          <w:bCs/>
          <w:color w:val="1A2F5C"/>
        </w:rPr>
        <w:t xml:space="preserve">Recommendation — </w:t>
      </w:r>
      <w:r>
        <w:t>Update the Backend Developer Manual to reflect the current folder structure so onboarding stays accurate.</w:t>
      </w:r>
    </w:p>
    <w:p w14:paraId="31535B8D" w14:textId="77777777" w:rsidR="003752ED" w:rsidRDefault="00000000">
      <w:pPr>
        <w:pStyle w:val="Heading3"/>
        <w:spacing w:before="220" w:after="100"/>
      </w:pPr>
      <w:r>
        <w:rPr>
          <w:b/>
          <w:bCs/>
          <w:color w:val="1A2740"/>
          <w:sz w:val="22"/>
          <w:szCs w:val="22"/>
        </w:rPr>
        <w:t>Repository pattern</w:t>
      </w:r>
    </w:p>
    <w:p w14:paraId="65EC00FE"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Adds an abstraction layer between services and the database, costing some boilerplate for stronger testability and easier storage swaps.</w:t>
      </w:r>
    </w:p>
    <w:p w14:paraId="29EF0922" w14:textId="77777777" w:rsidR="003752ED" w:rsidRDefault="00000000">
      <w:pPr>
        <w:pStyle w:val="ListParagraph"/>
        <w:numPr>
          <w:ilvl w:val="0"/>
          <w:numId w:val="2"/>
        </w:numPr>
        <w:spacing w:after="100"/>
      </w:pPr>
      <w:r>
        <w:rPr>
          <w:b/>
          <w:bCs/>
          <w:color w:val="1A2F5C"/>
        </w:rPr>
        <w:t xml:space="preserve">Recommendation — </w:t>
      </w:r>
      <w:r>
        <w:t>Keep the pattern; it pays off as the data layer grows.</w:t>
      </w:r>
    </w:p>
    <w:p w14:paraId="523E36AA" w14:textId="77777777" w:rsidR="003752ED" w:rsidRDefault="00000000">
      <w:pPr>
        <w:pStyle w:val="Heading3"/>
        <w:spacing w:before="220" w:after="100"/>
      </w:pPr>
      <w:r>
        <w:rPr>
          <w:b/>
          <w:bCs/>
          <w:color w:val="1A2740"/>
          <w:sz w:val="22"/>
          <w:szCs w:val="22"/>
        </w:rPr>
        <w:t xml:space="preserve">Secrets </w:t>
      </w:r>
      <w:proofErr w:type="gramStart"/>
      <w:r>
        <w:rPr>
          <w:b/>
          <w:bCs/>
          <w:color w:val="1A2740"/>
          <w:sz w:val="22"/>
          <w:szCs w:val="22"/>
        </w:rPr>
        <w:t>in .env</w:t>
      </w:r>
      <w:proofErr w:type="gramEnd"/>
    </w:p>
    <w:p w14:paraId="37C40561"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Simple for local development, but plaintext .env files are a weaker control than a managed secret store as the team and environments grow.</w:t>
      </w:r>
    </w:p>
    <w:p w14:paraId="760F2A1C" w14:textId="77777777" w:rsidR="003752ED" w:rsidRDefault="00000000">
      <w:pPr>
        <w:pStyle w:val="ListParagraph"/>
        <w:numPr>
          <w:ilvl w:val="0"/>
          <w:numId w:val="2"/>
        </w:numPr>
        <w:spacing w:after="100"/>
      </w:pPr>
      <w:r>
        <w:rPr>
          <w:b/>
          <w:bCs/>
          <w:color w:val="1A2F5C"/>
        </w:rPr>
        <w:lastRenderedPageBreak/>
        <w:t xml:space="preserve">Recommendation — </w:t>
      </w:r>
      <w:r>
        <w:t>Move to a managed secrets store (e.g. a vault or cloud secret manager) before production scale-up.</w:t>
      </w:r>
    </w:p>
    <w:p w14:paraId="3ECF6623" w14:textId="77777777" w:rsidR="003752ED" w:rsidRDefault="00000000">
      <w:pPr>
        <w:pStyle w:val="Heading3"/>
        <w:spacing w:before="220" w:after="100"/>
      </w:pPr>
      <w:r>
        <w:rPr>
          <w:b/>
          <w:bCs/>
          <w:color w:val="1A2740"/>
          <w:sz w:val="22"/>
          <w:szCs w:val="22"/>
        </w:rPr>
        <w:t>Agents as a first-class layer</w:t>
      </w:r>
    </w:p>
    <w:p w14:paraId="358E3132" w14:textId="77777777" w:rsidR="003752ED" w:rsidRDefault="00000000">
      <w:pPr>
        <w:pStyle w:val="ListParagraph"/>
        <w:numPr>
          <w:ilvl w:val="0"/>
          <w:numId w:val="2"/>
        </w:numPr>
        <w:spacing w:after="100"/>
      </w:pPr>
      <w:proofErr w:type="spellStart"/>
      <w:r>
        <w:rPr>
          <w:b/>
          <w:bCs/>
          <w:color w:val="1A2F5C"/>
        </w:rPr>
        <w:t>Tradeoff</w:t>
      </w:r>
      <w:proofErr w:type="spellEnd"/>
      <w:r>
        <w:rPr>
          <w:b/>
          <w:bCs/>
          <w:color w:val="1A2F5C"/>
        </w:rPr>
        <w:t xml:space="preserve"> — </w:t>
      </w:r>
      <w:r>
        <w:t xml:space="preserve">Distinct from a conventional MVC backend; gives the Command </w:t>
      </w:r>
      <w:proofErr w:type="spellStart"/>
      <w:r>
        <w:t>Center</w:t>
      </w:r>
      <w:proofErr w:type="spellEnd"/>
      <w:r>
        <w:t xml:space="preserve"> a clear home for orchestration logic, at the cost of being a less familiar pattern to new contributors.</w:t>
      </w:r>
    </w:p>
    <w:p w14:paraId="2B0214E5" w14:textId="77777777" w:rsidR="003752ED" w:rsidRDefault="00000000">
      <w:pPr>
        <w:pStyle w:val="ListParagraph"/>
        <w:numPr>
          <w:ilvl w:val="0"/>
          <w:numId w:val="2"/>
        </w:numPr>
        <w:spacing w:after="100"/>
      </w:pPr>
      <w:r>
        <w:rPr>
          <w:b/>
          <w:bCs/>
          <w:color w:val="1A2F5C"/>
        </w:rPr>
        <w:t xml:space="preserve">Recommendation — </w:t>
      </w:r>
      <w:r>
        <w:t>Document the agent layer's contract (inputs/outputs, how it calls services) explicitly.</w:t>
      </w:r>
    </w:p>
    <w:p w14:paraId="09E864D8" w14:textId="77777777" w:rsidR="003752ED" w:rsidRDefault="003752ED">
      <w:pPr>
        <w:spacing w:after="160"/>
      </w:pPr>
    </w:p>
    <w:p w14:paraId="3371692B" w14:textId="77777777" w:rsidR="003752ED" w:rsidRDefault="00000000">
      <w:pPr>
        <w:pStyle w:val="Heading2"/>
        <w:spacing w:before="320" w:after="140"/>
      </w:pPr>
      <w:proofErr w:type="gramStart"/>
      <w:r>
        <w:rPr>
          <w:b/>
          <w:bCs/>
          <w:color w:val="2E5395"/>
          <w:sz w:val="25"/>
          <w:szCs w:val="25"/>
        </w:rPr>
        <w:t>3.3  Operational</w:t>
      </w:r>
      <w:proofErr w:type="gramEnd"/>
      <w:r>
        <w:rPr>
          <w:b/>
          <w:bCs/>
          <w:color w:val="2E5395"/>
          <w:sz w:val="25"/>
          <w:szCs w:val="25"/>
        </w:rPr>
        <w:t xml:space="preserve"> Readiness Checklist</w:t>
      </w:r>
    </w:p>
    <w:p w14:paraId="20DC6107" w14:textId="77777777" w:rsidR="003752ED" w:rsidRDefault="00000000">
      <w:pPr>
        <w:spacing w:after="160" w:line="276" w:lineRule="auto"/>
      </w:pPr>
      <w:r>
        <w:t>Before a production release, the following should be confirmed for both frontend and backend:</w:t>
      </w:r>
    </w:p>
    <w:p w14:paraId="41830B2E" w14:textId="77777777" w:rsidR="003752ED" w:rsidRDefault="00000000">
      <w:pPr>
        <w:pStyle w:val="ListParagraph"/>
        <w:numPr>
          <w:ilvl w:val="0"/>
          <w:numId w:val="2"/>
        </w:numPr>
        <w:spacing w:after="100"/>
      </w:pPr>
      <w:r>
        <w:rPr>
          <w:b/>
          <w:bCs/>
          <w:color w:val="1A2F5C"/>
        </w:rPr>
        <w:t xml:space="preserve">Deployment — </w:t>
      </w:r>
      <w:r>
        <w:t>A repeatable, documented deployment process (build + release steps) exists for both frontend and backend.</w:t>
      </w:r>
    </w:p>
    <w:p w14:paraId="5B50C20B" w14:textId="77777777" w:rsidR="003752ED" w:rsidRDefault="00000000">
      <w:pPr>
        <w:pStyle w:val="ListParagraph"/>
        <w:numPr>
          <w:ilvl w:val="0"/>
          <w:numId w:val="2"/>
        </w:numPr>
        <w:spacing w:after="100"/>
      </w:pPr>
      <w:r>
        <w:rPr>
          <w:b/>
          <w:bCs/>
          <w:color w:val="1A2F5C"/>
        </w:rPr>
        <w:t xml:space="preserve">Environments — </w:t>
      </w:r>
      <w:r>
        <w:t>Dev / Test / UAT / Prod separation, with environment-specific configuration (not hard-coded values).</w:t>
      </w:r>
    </w:p>
    <w:p w14:paraId="44311423" w14:textId="77777777" w:rsidR="003752ED" w:rsidRDefault="00000000">
      <w:pPr>
        <w:pStyle w:val="ListParagraph"/>
        <w:numPr>
          <w:ilvl w:val="0"/>
          <w:numId w:val="2"/>
        </w:numPr>
        <w:spacing w:after="100"/>
      </w:pPr>
      <w:r>
        <w:rPr>
          <w:b/>
          <w:bCs/>
          <w:color w:val="1A2F5C"/>
        </w:rPr>
        <w:t xml:space="preserve">Secrets — </w:t>
      </w:r>
      <w:r>
        <w:t>Stored outside source control; rotated on a defined schedule.</w:t>
      </w:r>
    </w:p>
    <w:p w14:paraId="29DE4B06" w14:textId="77777777" w:rsidR="003752ED" w:rsidRDefault="00000000">
      <w:pPr>
        <w:pStyle w:val="ListParagraph"/>
        <w:numPr>
          <w:ilvl w:val="0"/>
          <w:numId w:val="2"/>
        </w:numPr>
        <w:spacing w:after="100"/>
      </w:pPr>
      <w:r>
        <w:rPr>
          <w:b/>
          <w:bCs/>
          <w:color w:val="1A2F5C"/>
        </w:rPr>
        <w:t xml:space="preserve">Monitoring &amp; Logging — </w:t>
      </w:r>
      <w:r>
        <w:t>Centralised logging for backend services and, at minimum, error tracking for the frontend.</w:t>
      </w:r>
    </w:p>
    <w:p w14:paraId="4FF0E385" w14:textId="77777777" w:rsidR="003752ED" w:rsidRDefault="00000000">
      <w:pPr>
        <w:pStyle w:val="ListParagraph"/>
        <w:numPr>
          <w:ilvl w:val="0"/>
          <w:numId w:val="2"/>
        </w:numPr>
        <w:spacing w:after="100"/>
      </w:pPr>
      <w:r>
        <w:rPr>
          <w:b/>
          <w:bCs/>
          <w:color w:val="1A2F5C"/>
        </w:rPr>
        <w:t xml:space="preserve">Access control — </w:t>
      </w:r>
      <w:r>
        <w:t>Auth flows and role-based access validated end-to-end.</w:t>
      </w:r>
    </w:p>
    <w:p w14:paraId="675543F3" w14:textId="77777777" w:rsidR="003752ED" w:rsidRDefault="00000000">
      <w:pPr>
        <w:pStyle w:val="ListParagraph"/>
        <w:numPr>
          <w:ilvl w:val="0"/>
          <w:numId w:val="2"/>
        </w:numPr>
        <w:spacing w:after="100"/>
      </w:pPr>
      <w:r>
        <w:rPr>
          <w:b/>
          <w:bCs/>
          <w:color w:val="1A2F5C"/>
        </w:rPr>
        <w:t xml:space="preserve">Testing — </w:t>
      </w:r>
      <w:r>
        <w:t>Unit and integration tests passing in CI before merge; manual QA sign-off for release candidates.</w:t>
      </w:r>
    </w:p>
    <w:p w14:paraId="4D1CAAED" w14:textId="77777777" w:rsidR="003752ED" w:rsidRDefault="00000000">
      <w:pPr>
        <w:pStyle w:val="ListParagraph"/>
        <w:numPr>
          <w:ilvl w:val="0"/>
          <w:numId w:val="2"/>
        </w:numPr>
        <w:spacing w:after="100"/>
      </w:pPr>
      <w:r>
        <w:rPr>
          <w:b/>
          <w:bCs/>
          <w:color w:val="1A2F5C"/>
        </w:rPr>
        <w:t xml:space="preserve">Documentation — </w:t>
      </w:r>
      <w:r>
        <w:t>Developer manuals and nomenclature guides kept in sync with the actual codebase.</w:t>
      </w:r>
    </w:p>
    <w:p w14:paraId="5FD62448" w14:textId="77777777" w:rsidR="003752ED" w:rsidRDefault="00000000">
      <w:pPr>
        <w:pStyle w:val="ListParagraph"/>
        <w:numPr>
          <w:ilvl w:val="0"/>
          <w:numId w:val="2"/>
        </w:numPr>
        <w:spacing w:after="100"/>
      </w:pPr>
      <w:r>
        <w:rPr>
          <w:b/>
          <w:bCs/>
          <w:color w:val="1A2F5C"/>
        </w:rPr>
        <w:t xml:space="preserve">Support ownership — </w:t>
      </w:r>
      <w:r>
        <w:t>A clear owner defined for incident response on each layer.</w:t>
      </w:r>
    </w:p>
    <w:p w14:paraId="353AC45C" w14:textId="77777777" w:rsidR="003752ED" w:rsidRDefault="003752ED">
      <w:pPr>
        <w:spacing w:after="160"/>
      </w:pPr>
    </w:p>
    <w:p w14:paraId="2A8BCDF9" w14:textId="77777777" w:rsidR="003752ED" w:rsidRDefault="00000000">
      <w:pPr>
        <w:pStyle w:val="Heading2"/>
        <w:spacing w:before="320" w:after="140"/>
      </w:pPr>
      <w:proofErr w:type="gramStart"/>
      <w:r>
        <w:rPr>
          <w:b/>
          <w:bCs/>
          <w:color w:val="2E5395"/>
          <w:sz w:val="25"/>
          <w:szCs w:val="25"/>
        </w:rPr>
        <w:t>3.4  Standard</w:t>
      </w:r>
      <w:proofErr w:type="gramEnd"/>
      <w:r>
        <w:rPr>
          <w:b/>
          <w:bCs/>
          <w:color w:val="2E5395"/>
          <w:sz w:val="25"/>
          <w:szCs w:val="25"/>
        </w:rPr>
        <w:t>-by-Standard Summary</w:t>
      </w:r>
    </w:p>
    <w:p w14:paraId="5069870C" w14:textId="77777777" w:rsidR="003752ED" w:rsidRDefault="00000000">
      <w:pPr>
        <w:pStyle w:val="Heading3"/>
        <w:spacing w:before="220" w:after="100"/>
      </w:pPr>
      <w:r>
        <w:rPr>
          <w:b/>
          <w:bCs/>
          <w:color w:val="1A2740"/>
          <w:sz w:val="22"/>
          <w:szCs w:val="22"/>
        </w:rPr>
        <w:t>Reusability</w:t>
      </w:r>
    </w:p>
    <w:p w14:paraId="7B6EBD09" w14:textId="77777777" w:rsidR="003752ED" w:rsidRDefault="00000000">
      <w:pPr>
        <w:spacing w:after="160" w:line="276" w:lineRule="auto"/>
      </w:pPr>
      <w:r>
        <w:t>Current state: shared components, config, and services exist per layer. Recommendation: extract cross-feature logic into shared modules as duplication appears.</w:t>
      </w:r>
    </w:p>
    <w:p w14:paraId="6256EEC4" w14:textId="77777777" w:rsidR="003752ED" w:rsidRDefault="00000000">
      <w:pPr>
        <w:pStyle w:val="Heading3"/>
        <w:spacing w:before="220" w:after="100"/>
      </w:pPr>
      <w:r>
        <w:rPr>
          <w:b/>
          <w:bCs/>
          <w:color w:val="1A2740"/>
          <w:sz w:val="22"/>
          <w:szCs w:val="22"/>
        </w:rPr>
        <w:t>Consistency</w:t>
      </w:r>
    </w:p>
    <w:p w14:paraId="3C12AFA4" w14:textId="77777777" w:rsidR="003752ED" w:rsidRDefault="00000000">
      <w:pPr>
        <w:spacing w:after="160" w:line="276" w:lineRule="auto"/>
      </w:pPr>
      <w:r>
        <w:t>Current state: naming conventions documented for both frontend and backend. Recommendation: keep the nomenclature docs as the single source of truth and review them during code review.</w:t>
      </w:r>
    </w:p>
    <w:p w14:paraId="33E909A2" w14:textId="77777777" w:rsidR="003752ED" w:rsidRDefault="00000000">
      <w:pPr>
        <w:pStyle w:val="Heading3"/>
        <w:spacing w:before="220" w:after="100"/>
      </w:pPr>
      <w:r>
        <w:rPr>
          <w:b/>
          <w:bCs/>
          <w:color w:val="1A2740"/>
          <w:sz w:val="22"/>
          <w:szCs w:val="22"/>
        </w:rPr>
        <w:t>Resiliency</w:t>
      </w:r>
    </w:p>
    <w:p w14:paraId="0E236AA4" w14:textId="77777777" w:rsidR="003752ED" w:rsidRDefault="00000000">
      <w:pPr>
        <w:spacing w:after="160" w:line="276" w:lineRule="auto"/>
      </w:pPr>
      <w:r>
        <w:t>Current state: basic try/except handling; no formal retry policy documented. Recommendation: define a standard retry/backoff approach for backend calls to external dependencies.</w:t>
      </w:r>
    </w:p>
    <w:p w14:paraId="7FBEC06F" w14:textId="77777777" w:rsidR="003752ED" w:rsidRDefault="00000000">
      <w:pPr>
        <w:pStyle w:val="Heading3"/>
        <w:spacing w:before="220" w:after="100"/>
      </w:pPr>
      <w:r>
        <w:rPr>
          <w:b/>
          <w:bCs/>
          <w:color w:val="1A2740"/>
          <w:sz w:val="22"/>
          <w:szCs w:val="22"/>
        </w:rPr>
        <w:t>Security</w:t>
      </w:r>
    </w:p>
    <w:p w14:paraId="53E95EA1" w14:textId="77777777" w:rsidR="003752ED" w:rsidRDefault="00000000">
      <w:pPr>
        <w:spacing w:after="160" w:line="276" w:lineRule="auto"/>
      </w:pPr>
      <w:r>
        <w:t xml:space="preserve">Current state: auth handled client-side; secrets </w:t>
      </w:r>
      <w:proofErr w:type="gramStart"/>
      <w:r>
        <w:t>via .env</w:t>
      </w:r>
      <w:proofErr w:type="gramEnd"/>
      <w:r>
        <w:t xml:space="preserve"> on the backend. Recommendation: move secrets to a managed store and document RBAC rules explicitly.</w:t>
      </w:r>
    </w:p>
    <w:p w14:paraId="3AE02D84" w14:textId="77777777" w:rsidR="003752ED" w:rsidRDefault="00000000">
      <w:pPr>
        <w:pStyle w:val="Heading3"/>
        <w:spacing w:before="220" w:after="100"/>
      </w:pPr>
      <w:r>
        <w:rPr>
          <w:b/>
          <w:bCs/>
          <w:color w:val="1A2740"/>
          <w:sz w:val="22"/>
          <w:szCs w:val="22"/>
        </w:rPr>
        <w:t>Observability</w:t>
      </w:r>
    </w:p>
    <w:p w14:paraId="453EF16D" w14:textId="77777777" w:rsidR="003752ED" w:rsidRDefault="00000000">
      <w:pPr>
        <w:spacing w:after="160" w:line="276" w:lineRule="auto"/>
      </w:pPr>
      <w:r>
        <w:lastRenderedPageBreak/>
        <w:t>Current state: not yet formalised. Recommendation: introduce structured logging and, ideally, centralised error tracking / APM.</w:t>
      </w:r>
    </w:p>
    <w:p w14:paraId="1AC0BF96" w14:textId="77777777" w:rsidR="003752ED" w:rsidRDefault="00000000">
      <w:pPr>
        <w:pStyle w:val="Heading3"/>
        <w:spacing w:before="220" w:after="100"/>
      </w:pPr>
      <w:r>
        <w:rPr>
          <w:b/>
          <w:bCs/>
          <w:color w:val="1A2740"/>
          <w:sz w:val="22"/>
          <w:szCs w:val="22"/>
        </w:rPr>
        <w:t>Operational Readiness</w:t>
      </w:r>
    </w:p>
    <w:p w14:paraId="6F82A0ED" w14:textId="77777777" w:rsidR="003752ED" w:rsidRDefault="00000000">
      <w:pPr>
        <w:spacing w:after="160" w:line="276" w:lineRule="auto"/>
      </w:pPr>
      <w:r>
        <w:t>Current state: folder structures are consistent; deployment and monitoring are not yet documented. Recommendation: complete the readiness checklist in Section 3.3 before production release.</w:t>
      </w:r>
    </w:p>
    <w:p w14:paraId="01649039" w14:textId="77777777" w:rsidR="003752ED" w:rsidRDefault="003752ED">
      <w:pPr>
        <w:spacing w:after="160"/>
      </w:pPr>
    </w:p>
    <w:p w14:paraId="09FD9262" w14:textId="77777777" w:rsidR="003752ED" w:rsidRDefault="00000000">
      <w:pPr>
        <w:pStyle w:val="Heading2"/>
        <w:spacing w:before="320" w:after="140"/>
      </w:pPr>
      <w:proofErr w:type="gramStart"/>
      <w:r>
        <w:rPr>
          <w:b/>
          <w:bCs/>
          <w:color w:val="2E5395"/>
          <w:sz w:val="25"/>
          <w:szCs w:val="25"/>
        </w:rPr>
        <w:t>3.5  Final</w:t>
      </w:r>
      <w:proofErr w:type="gramEnd"/>
      <w:r>
        <w:rPr>
          <w:b/>
          <w:bCs/>
          <w:color w:val="2E5395"/>
          <w:sz w:val="25"/>
          <w:szCs w:val="25"/>
        </w:rPr>
        <w:t xml:space="preserve"> Architecture Principle</w:t>
      </w:r>
    </w:p>
    <w:p w14:paraId="5FE56B81" w14:textId="77777777" w:rsidR="003752ED" w:rsidRDefault="00000000">
      <w:pPr>
        <w:spacing w:after="160" w:line="276" w:lineRule="auto"/>
      </w:pPr>
      <w:r>
        <w:t xml:space="preserve">Build every Command </w:t>
      </w:r>
      <w:proofErr w:type="spellStart"/>
      <w:r>
        <w:t>Center</w:t>
      </w:r>
      <w:proofErr w:type="spellEnd"/>
      <w:r>
        <w:t xml:space="preserve"> feature — and every future application on this stack — using the same layering, naming, and cross-cutting standards described in this document. Teams should customise business logic, features, and agent workflows freely, but should not recreate foundational patterns for API structure, state management, security, or data access.</w:t>
      </w:r>
    </w:p>
    <w:p w14:paraId="7F5A1827" w14:textId="77777777" w:rsidR="003752ED" w:rsidRDefault="00000000">
      <w:pPr>
        <w:spacing w:after="160" w:line="276" w:lineRule="auto"/>
      </w:pPr>
      <w:r>
        <w:t>This keeps every application on the stack faster to onboard into, easier to review, safer to operate, and simpler to extend.</w:t>
      </w:r>
    </w:p>
    <w:p w14:paraId="3E5D820F" w14:textId="77777777" w:rsidR="003752ED" w:rsidRDefault="00000000">
      <w:r>
        <w:br w:type="page"/>
      </w:r>
    </w:p>
    <w:p w14:paraId="245356E3" w14:textId="77777777" w:rsidR="003752ED" w:rsidRDefault="00000000">
      <w:pPr>
        <w:pStyle w:val="Heading1"/>
        <w:pBdr>
          <w:bottom w:val="single" w:sz="8" w:space="4" w:color="2E5395"/>
        </w:pBdr>
        <w:spacing w:before="480" w:after="200"/>
      </w:pPr>
      <w:r>
        <w:rPr>
          <w:b/>
          <w:bCs/>
          <w:color w:val="1A2F5C"/>
        </w:rPr>
        <w:lastRenderedPageBreak/>
        <w:t>4.  Reference: Repository Folder Structures</w:t>
      </w:r>
    </w:p>
    <w:p w14:paraId="2C390959" w14:textId="77777777" w:rsidR="003752ED" w:rsidRDefault="00000000">
      <w:pPr>
        <w:spacing w:after="160" w:line="276" w:lineRule="auto"/>
      </w:pPr>
      <w:r>
        <w:t>The screenshots below are the actual folder structures the architecture in Section 1 is based on, captured directly from the frontend and backend repositories.</w:t>
      </w:r>
    </w:p>
    <w:p w14:paraId="23286EBB" w14:textId="77777777" w:rsidR="003752ED" w:rsidRDefault="00000000">
      <w:pPr>
        <w:pStyle w:val="Heading2"/>
        <w:spacing w:before="320" w:after="140"/>
      </w:pPr>
      <w:proofErr w:type="gramStart"/>
      <w:r>
        <w:rPr>
          <w:b/>
          <w:bCs/>
          <w:color w:val="2E5395"/>
          <w:sz w:val="25"/>
          <w:szCs w:val="25"/>
        </w:rPr>
        <w:t>4.1  Frontend</w:t>
      </w:r>
      <w:proofErr w:type="gramEnd"/>
      <w:r>
        <w:rPr>
          <w:b/>
          <w:bCs/>
          <w:color w:val="2E5395"/>
          <w:sz w:val="25"/>
          <w:szCs w:val="25"/>
        </w:rPr>
        <w:t xml:space="preserve"> Folder Structure</w:t>
      </w:r>
    </w:p>
    <w:p w14:paraId="612CB5C7" w14:textId="77777777" w:rsidR="003752ED" w:rsidRDefault="00000000">
      <w:pPr>
        <w:spacing w:before="120" w:after="60"/>
        <w:jc w:val="center"/>
      </w:pPr>
      <w:r>
        <w:rPr>
          <w:noProof/>
        </w:rPr>
        <w:drawing>
          <wp:inline distT="0" distB="0" distL="0" distR="0" wp14:anchorId="10DDAC43" wp14:editId="232646A1">
            <wp:extent cx="2476500" cy="50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010150"/>
                    </a:xfrm>
                    <a:prstGeom prst="rect">
                      <a:avLst/>
                    </a:prstGeom>
                  </pic:spPr>
                </pic:pic>
              </a:graphicData>
            </a:graphic>
          </wp:inline>
        </w:drawing>
      </w:r>
    </w:p>
    <w:p w14:paraId="0B4675D4" w14:textId="77777777" w:rsidR="003752ED" w:rsidRDefault="00000000">
      <w:pPr>
        <w:spacing w:after="260"/>
        <w:jc w:val="center"/>
      </w:pPr>
      <w:r>
        <w:rPr>
          <w:i/>
          <w:iCs/>
          <w:color w:val="4A6FA5"/>
          <w:sz w:val="18"/>
          <w:szCs w:val="18"/>
        </w:rPr>
        <w:t xml:space="preserve">Frontend — </w:t>
      </w:r>
      <w:proofErr w:type="spellStart"/>
      <w:r>
        <w:rPr>
          <w:i/>
          <w:iCs/>
          <w:color w:val="4A6FA5"/>
          <w:sz w:val="18"/>
          <w:szCs w:val="18"/>
        </w:rPr>
        <w:t>src</w:t>
      </w:r>
      <w:proofErr w:type="spellEnd"/>
      <w:r>
        <w:rPr>
          <w:i/>
          <w:iCs/>
          <w:color w:val="4A6FA5"/>
          <w:sz w:val="18"/>
          <w:szCs w:val="18"/>
        </w:rPr>
        <w:t>/ folder structure</w:t>
      </w:r>
    </w:p>
    <w:p w14:paraId="2922F406" w14:textId="77777777" w:rsidR="003752ED" w:rsidRDefault="00000000">
      <w:pPr>
        <w:pStyle w:val="Heading2"/>
        <w:spacing w:before="320" w:after="140"/>
      </w:pPr>
      <w:proofErr w:type="gramStart"/>
      <w:r>
        <w:rPr>
          <w:b/>
          <w:bCs/>
          <w:color w:val="2E5395"/>
          <w:sz w:val="25"/>
          <w:szCs w:val="25"/>
        </w:rPr>
        <w:t>4.2  Backend</w:t>
      </w:r>
      <w:proofErr w:type="gramEnd"/>
      <w:r>
        <w:rPr>
          <w:b/>
          <w:bCs/>
          <w:color w:val="2E5395"/>
          <w:sz w:val="25"/>
          <w:szCs w:val="25"/>
        </w:rPr>
        <w:t xml:space="preserve"> Folder Structure</w:t>
      </w:r>
    </w:p>
    <w:p w14:paraId="3CF851E3" w14:textId="77777777" w:rsidR="003752ED" w:rsidRDefault="00000000">
      <w:pPr>
        <w:spacing w:before="120" w:after="60"/>
        <w:jc w:val="center"/>
      </w:pPr>
      <w:r>
        <w:rPr>
          <w:noProof/>
        </w:rPr>
        <w:lastRenderedPageBreak/>
        <w:drawing>
          <wp:inline distT="0" distB="0" distL="0" distR="0" wp14:anchorId="0E70627C" wp14:editId="087EFA47">
            <wp:extent cx="3048000" cy="3200400"/>
            <wp:effectExtent l="0" t="0" r="0" b="0"/>
            <wp:docPr id="1698223752" name="Picture 169822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200400"/>
                    </a:xfrm>
                    <a:prstGeom prst="rect">
                      <a:avLst/>
                    </a:prstGeom>
                  </pic:spPr>
                </pic:pic>
              </a:graphicData>
            </a:graphic>
          </wp:inline>
        </w:drawing>
      </w:r>
    </w:p>
    <w:p w14:paraId="1D6A44CA" w14:textId="77777777" w:rsidR="003752ED" w:rsidRDefault="00000000">
      <w:pPr>
        <w:spacing w:after="200"/>
        <w:jc w:val="center"/>
      </w:pPr>
      <w:r>
        <w:rPr>
          <w:i/>
          <w:iCs/>
          <w:color w:val="4A6FA5"/>
          <w:sz w:val="18"/>
          <w:szCs w:val="18"/>
        </w:rPr>
        <w:t>Backend — app/ folder structure</w:t>
      </w:r>
    </w:p>
    <w:sectPr w:rsidR="003752ED">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B607C" w14:textId="77777777" w:rsidR="00DA4FAF" w:rsidRDefault="00DA4FAF">
      <w:r>
        <w:separator/>
      </w:r>
    </w:p>
  </w:endnote>
  <w:endnote w:type="continuationSeparator" w:id="0">
    <w:p w14:paraId="1F950C11" w14:textId="77777777" w:rsidR="00DA4FAF" w:rsidRDefault="00DA4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BFDD" w14:textId="77777777" w:rsidR="003752ED" w:rsidRDefault="00000000">
    <w:pPr>
      <w:jc w:val="center"/>
    </w:pPr>
    <w:r>
      <w:rPr>
        <w:color w:val="4A6FA5"/>
        <w:sz w:val="16"/>
        <w:szCs w:val="16"/>
      </w:rPr>
      <w:t xml:space="preserve">Page </w:t>
    </w:r>
    <w:r>
      <w:rPr>
        <w:color w:val="4A6FA5"/>
        <w:sz w:val="16"/>
        <w:szCs w:val="16"/>
      </w:rPr>
      <w:fldChar w:fldCharType="begin"/>
    </w:r>
    <w:r>
      <w:rPr>
        <w:color w:val="4A6FA5"/>
        <w:sz w:val="16"/>
        <w:szCs w:val="16"/>
      </w:rPr>
      <w:instrText>PAGE</w:instrText>
    </w:r>
    <w:r>
      <w:rPr>
        <w:color w:val="4A6FA5"/>
        <w:sz w:val="16"/>
        <w:szCs w:val="16"/>
      </w:rPr>
      <w:fldChar w:fldCharType="separate"/>
    </w:r>
    <w:r w:rsidR="00E901D4">
      <w:rPr>
        <w:noProof/>
        <w:color w:val="4A6FA5"/>
        <w:sz w:val="16"/>
        <w:szCs w:val="16"/>
      </w:rPr>
      <w:t>2</w:t>
    </w:r>
    <w:r>
      <w:rPr>
        <w:color w:val="4A6FA5"/>
        <w:sz w:val="16"/>
        <w:szCs w:val="16"/>
      </w:rPr>
      <w:fldChar w:fldCharType="end"/>
    </w:r>
    <w:r>
      <w:rPr>
        <w:color w:val="4A6FA5"/>
        <w:sz w:val="16"/>
        <w:szCs w:val="16"/>
      </w:rPr>
      <w:t xml:space="preserve"> of </w:t>
    </w:r>
    <w:r>
      <w:rPr>
        <w:color w:val="4A6FA5"/>
        <w:sz w:val="16"/>
        <w:szCs w:val="16"/>
      </w:rPr>
      <w:fldChar w:fldCharType="begin"/>
    </w:r>
    <w:r>
      <w:rPr>
        <w:color w:val="4A6FA5"/>
        <w:sz w:val="16"/>
        <w:szCs w:val="16"/>
      </w:rPr>
      <w:instrText>NUMPAGES</w:instrText>
    </w:r>
    <w:r>
      <w:rPr>
        <w:color w:val="4A6FA5"/>
        <w:sz w:val="16"/>
        <w:szCs w:val="16"/>
      </w:rPr>
      <w:fldChar w:fldCharType="separate"/>
    </w:r>
    <w:r w:rsidR="00E901D4">
      <w:rPr>
        <w:noProof/>
        <w:color w:val="4A6FA5"/>
        <w:sz w:val="16"/>
        <w:szCs w:val="16"/>
      </w:rPr>
      <w:t>3</w:t>
    </w:r>
    <w:r>
      <w:rPr>
        <w:color w:val="4A6FA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4EA3" w14:textId="77777777" w:rsidR="00DA4FAF" w:rsidRDefault="00DA4FAF">
      <w:r>
        <w:separator/>
      </w:r>
    </w:p>
  </w:footnote>
  <w:footnote w:type="continuationSeparator" w:id="0">
    <w:p w14:paraId="469D85DD" w14:textId="77777777" w:rsidR="00DA4FAF" w:rsidRDefault="00DA4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47E6" w14:textId="77777777" w:rsidR="003752ED" w:rsidRDefault="00000000">
    <w:pPr>
      <w:jc w:val="right"/>
    </w:pPr>
    <w:r>
      <w:rPr>
        <w:color w:val="4A6FA5"/>
        <w:sz w:val="16"/>
        <w:szCs w:val="16"/>
      </w:rPr>
      <w:t xml:space="preserve">Command </w:t>
    </w:r>
    <w:proofErr w:type="spellStart"/>
    <w:r>
      <w:rPr>
        <w:color w:val="4A6FA5"/>
        <w:sz w:val="16"/>
        <w:szCs w:val="16"/>
      </w:rPr>
      <w:t>Center</w:t>
    </w:r>
    <w:proofErr w:type="spellEnd"/>
    <w:r>
      <w:rPr>
        <w:color w:val="4A6FA5"/>
        <w:sz w:val="16"/>
        <w:szCs w:val="16"/>
      </w:rPr>
      <w:t xml:space="preserve"> — Application Layer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F2D"/>
    <w:multiLevelType w:val="hybridMultilevel"/>
    <w:tmpl w:val="D8E8D584"/>
    <w:lvl w:ilvl="0" w:tplc="BB00A2EC">
      <w:start w:val="1"/>
      <w:numFmt w:val="bullet"/>
      <w:lvlText w:val="●"/>
      <w:lvlJc w:val="left"/>
      <w:pPr>
        <w:ind w:left="720" w:hanging="360"/>
      </w:pPr>
    </w:lvl>
    <w:lvl w:ilvl="1" w:tplc="D11003BE">
      <w:start w:val="1"/>
      <w:numFmt w:val="bullet"/>
      <w:lvlText w:val="○"/>
      <w:lvlJc w:val="left"/>
      <w:pPr>
        <w:ind w:left="1440" w:hanging="360"/>
      </w:pPr>
    </w:lvl>
    <w:lvl w:ilvl="2" w:tplc="EB305110">
      <w:start w:val="1"/>
      <w:numFmt w:val="bullet"/>
      <w:lvlText w:val="■"/>
      <w:lvlJc w:val="left"/>
      <w:pPr>
        <w:ind w:left="2160" w:hanging="360"/>
      </w:pPr>
    </w:lvl>
    <w:lvl w:ilvl="3" w:tplc="38DA7C8C">
      <w:start w:val="1"/>
      <w:numFmt w:val="bullet"/>
      <w:lvlText w:val="●"/>
      <w:lvlJc w:val="left"/>
      <w:pPr>
        <w:ind w:left="2880" w:hanging="360"/>
      </w:pPr>
    </w:lvl>
    <w:lvl w:ilvl="4" w:tplc="81726826">
      <w:start w:val="1"/>
      <w:numFmt w:val="bullet"/>
      <w:lvlText w:val="○"/>
      <w:lvlJc w:val="left"/>
      <w:pPr>
        <w:ind w:left="3600" w:hanging="360"/>
      </w:pPr>
    </w:lvl>
    <w:lvl w:ilvl="5" w:tplc="17F6B4AC">
      <w:start w:val="1"/>
      <w:numFmt w:val="bullet"/>
      <w:lvlText w:val="■"/>
      <w:lvlJc w:val="left"/>
      <w:pPr>
        <w:ind w:left="4320" w:hanging="360"/>
      </w:pPr>
    </w:lvl>
    <w:lvl w:ilvl="6" w:tplc="D3CEFD4A">
      <w:start w:val="1"/>
      <w:numFmt w:val="bullet"/>
      <w:lvlText w:val="●"/>
      <w:lvlJc w:val="left"/>
      <w:pPr>
        <w:ind w:left="5040" w:hanging="360"/>
      </w:pPr>
    </w:lvl>
    <w:lvl w:ilvl="7" w:tplc="C8CAA88C">
      <w:start w:val="1"/>
      <w:numFmt w:val="bullet"/>
      <w:lvlText w:val="●"/>
      <w:lvlJc w:val="left"/>
      <w:pPr>
        <w:ind w:left="5760" w:hanging="360"/>
      </w:pPr>
    </w:lvl>
    <w:lvl w:ilvl="8" w:tplc="81366ACC">
      <w:start w:val="1"/>
      <w:numFmt w:val="bullet"/>
      <w:lvlText w:val="●"/>
      <w:lvlJc w:val="left"/>
      <w:pPr>
        <w:ind w:left="6480" w:hanging="360"/>
      </w:pPr>
    </w:lvl>
  </w:abstractNum>
  <w:abstractNum w:abstractNumId="1" w15:restartNumberingAfterBreak="0">
    <w:nsid w:val="58ED3926"/>
    <w:multiLevelType w:val="hybridMultilevel"/>
    <w:tmpl w:val="4FAE4FFA"/>
    <w:lvl w:ilvl="0" w:tplc="AEBAA45E">
      <w:start w:val="1"/>
      <w:numFmt w:val="bullet"/>
      <w:lvlText w:val="•"/>
      <w:lvlJc w:val="left"/>
      <w:pPr>
        <w:ind w:left="360" w:hanging="260"/>
      </w:pPr>
    </w:lvl>
    <w:lvl w:ilvl="1" w:tplc="36C48EBA">
      <w:numFmt w:val="decimal"/>
      <w:lvlText w:val=""/>
      <w:lvlJc w:val="left"/>
    </w:lvl>
    <w:lvl w:ilvl="2" w:tplc="0C44DD18">
      <w:numFmt w:val="decimal"/>
      <w:lvlText w:val=""/>
      <w:lvlJc w:val="left"/>
    </w:lvl>
    <w:lvl w:ilvl="3" w:tplc="5FF4AADA">
      <w:numFmt w:val="decimal"/>
      <w:lvlText w:val=""/>
      <w:lvlJc w:val="left"/>
    </w:lvl>
    <w:lvl w:ilvl="4" w:tplc="FE78E62A">
      <w:numFmt w:val="decimal"/>
      <w:lvlText w:val=""/>
      <w:lvlJc w:val="left"/>
    </w:lvl>
    <w:lvl w:ilvl="5" w:tplc="79CADB82">
      <w:numFmt w:val="decimal"/>
      <w:lvlText w:val=""/>
      <w:lvlJc w:val="left"/>
    </w:lvl>
    <w:lvl w:ilvl="6" w:tplc="9E06C31E">
      <w:numFmt w:val="decimal"/>
      <w:lvlText w:val=""/>
      <w:lvlJc w:val="left"/>
    </w:lvl>
    <w:lvl w:ilvl="7" w:tplc="0BECA22E">
      <w:numFmt w:val="decimal"/>
      <w:lvlText w:val=""/>
      <w:lvlJc w:val="left"/>
    </w:lvl>
    <w:lvl w:ilvl="8" w:tplc="3D565F3C">
      <w:numFmt w:val="decimal"/>
      <w:lvlText w:val=""/>
      <w:lvlJc w:val="left"/>
    </w:lvl>
  </w:abstractNum>
  <w:num w:numId="1" w16cid:durableId="2029866817">
    <w:abstractNumId w:val="0"/>
    <w:lvlOverride w:ilvl="0">
      <w:startOverride w:val="1"/>
    </w:lvlOverride>
  </w:num>
  <w:num w:numId="2" w16cid:durableId="19019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ED"/>
    <w:rsid w:val="00005C0A"/>
    <w:rsid w:val="003752ED"/>
    <w:rsid w:val="00DA4FAF"/>
    <w:rsid w:val="00E901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0677"/>
  <w15:docId w15:val="{D092D27E-13FA-4C51-814A-E4B8A0BA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740"/>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velivela rajkumar</cp:lastModifiedBy>
  <cp:revision>2</cp:revision>
  <dcterms:created xsi:type="dcterms:W3CDTF">2026-07-03T05:59:00Z</dcterms:created>
  <dcterms:modified xsi:type="dcterms:W3CDTF">2026-07-03T05:59:00Z</dcterms:modified>
</cp:coreProperties>
</file>