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Business Operations &amp; Financial Overview Report This document presents an internal business overview of Shakti Infra Solutions Pvt. Ltd. for the financial year 2024–2025. The report is intended to provide management with a consolidated narrative of operational activities, contractual engagements, and financial performance across multiple regions in India. Shakti Infra Solutions Pvt. Ltd., headquartered in Pune, Maharashtra, has been actively involved in infrastructure consulting and implementation services for government and private sector clients. During this period, the company worked closely with project lead Rahul Deshmukh and operations manager Neha Kulkarni to deliver large-scale projects in Maharashtra, Gujarat, and Karnataka. In August 2024, the organization entered into a service agreement with Mahindra Engineering Services for consultancy support related to smart city infrastructure planning. The agreement was formally signed on August 18, 2024, at the company’s Pune office located near Hinjewadi IT Park. The total contract value discussed during negotiations was approximately INR 2.5 crore, with phased billing scheduled over the project lifecycle. The finance department issued Invoice SHK-INF-0824-01 to Mahindra Engineering Services on September 30, 2024. The invoice amount was INR 75,00,000, payable within 45 days from the invoice date. As per internal projections, payment is expected by mid-November 2024, subject to milestone approval. Apart from private sector engagements, Shakti Infra Solutions also collaborated with the Pune Municipal Corporation on an urban road development initiative. The proposal was approved in October 2024, following multiple review meetings with city officials and technical consultants. The execution site was located in the Shivajinagar area of Pune, where field operations commenced in November 2024. From a compliance perspective, legal oversight was managed by advocate Anjali Patil, who ensured adherence to contractual terms, licensing requirements, and applicable government regulations. All project-related documentation and authorization letters were maintained by the administrative team for audit and review purposes. Operational activities during the year were supported by the company’s regional office in Ahmedabad, Gujarat, which coordinated logistics and vendor management for western India. Regular progress updates were shared through formal email communications and internal reports circulated among senior stakeholders. This report is confidential and prepared solely for internal strategic planning and performance evaluation.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