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144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Rohita Gangishetty</w:t>
      </w:r>
    </w:p>
    <w:p w:rsidR="00000000" w:rsidDel="00000000" w:rsidP="00000000" w:rsidRDefault="00000000" w:rsidRPr="00000000" w14:paraId="00000002">
      <w:pPr>
        <w:spacing w:line="480" w:lineRule="auto"/>
        <w:ind w:left="144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Michael Minzey</w:t>
      </w:r>
    </w:p>
    <w:p w:rsidR="00000000" w:rsidDel="00000000" w:rsidP="00000000" w:rsidRDefault="00000000" w:rsidRPr="00000000" w14:paraId="00000003">
      <w:pPr>
        <w:spacing w:line="480" w:lineRule="auto"/>
        <w:ind w:left="144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Computers and Modern Society</w:t>
      </w:r>
    </w:p>
    <w:p w:rsidR="00000000" w:rsidDel="00000000" w:rsidP="00000000" w:rsidRDefault="00000000" w:rsidRPr="00000000" w14:paraId="00000004">
      <w:pPr>
        <w:spacing w:line="480" w:lineRule="auto"/>
        <w:ind w:left="144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2 June 2024</w:t>
      </w:r>
    </w:p>
    <w:p w:rsidR="00000000" w:rsidDel="00000000" w:rsidP="00000000" w:rsidRDefault="00000000" w:rsidRPr="00000000" w14:paraId="00000005">
      <w:pPr>
        <w:spacing w:after="240" w:before="240"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Pioneer of Computer Science: Susan L. Graham</w:t>
      </w:r>
    </w:p>
    <w:p w:rsidR="00000000" w:rsidDel="00000000" w:rsidP="00000000" w:rsidRDefault="00000000" w:rsidRPr="00000000" w14:paraId="00000006">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Susan L. Graham was born on September 16, 1942, to become one of the most famous computer scientists and Pehong Chen Distinguished Professor Emerita in the Computer Science Division of the Department of Electrical Engineering and Computer Sciences at the University of California, Berkeley. She started her education at Harvard University, where in 1964 she obtained an A.B. in mathematics. Then she went to Stanford University for graduate work in computer science, receiving her M.S. in 1966 and a Ph.D. in 1971 under the supervision of David Gries. Her dissertation was named "Automatic Syntactic Analysis" which was actually the foundation stone for her further contribution to computer science.</w:t>
      </w:r>
    </w:p>
    <w:p w:rsidR="00000000" w:rsidDel="00000000" w:rsidP="00000000" w:rsidRDefault="00000000" w:rsidRPr="00000000" w14:paraId="00000007">
      <w:pPr>
        <w:spacing w:after="240" w:before="240" w:line="480" w:lineRule="auto"/>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Graham has participated in seminal research projects having a profound impact in the field of computer science from Harmonia, a language-based framework for the development of interactive software, to Titanium, a Java-based parallel programming language, compiler, and runtime environment. She was the first editor of ACM Transactions on Programming Languages and Systems, showing leadership and impact in the academic world.</w:t>
      </w:r>
    </w:p>
    <w:p w:rsidR="00000000" w:rsidDel="00000000" w:rsidP="00000000" w:rsidRDefault="00000000" w:rsidRPr="00000000" w14:paraId="00000008">
      <w:pPr>
        <w:spacing w:after="240" w:before="240" w:line="480" w:lineRule="auto"/>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Graham's academic contributions exceed her research projects; she has written several research publications and taught widely on computer languages, compilers, and programming environments. Her expertise was honored with an appointment to the United States President's Council of Advisors on Science and Technology, chairing the Panel on Open Source Software for High-End Computing. Other prominent organizations to which Graham belongs include the American Association for the Advancement of Science, the American Academy of Arts and Sciences, and the Institute of Electrical and Electronics Engineers. She was awarded the IEEE John von Neumann Medal in 2009 for her work on programming language design and implementation.</w:t>
      </w:r>
    </w:p>
    <w:p w:rsidR="00000000" w:rsidDel="00000000" w:rsidP="00000000" w:rsidRDefault="00000000" w:rsidRPr="00000000" w14:paraId="00000009">
      <w:pPr>
        <w:spacing w:after="240" w:before="240" w:line="480" w:lineRule="auto"/>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One of the contributions  of Susan L. Graham is toward research on “</w:t>
      </w:r>
      <w:r w:rsidDel="00000000" w:rsidR="00000000" w:rsidRPr="00000000">
        <w:rPr>
          <w:rFonts w:ascii="Times" w:cs="Times" w:eastAsia="Times" w:hAnsi="Times"/>
          <w:sz w:val="24"/>
          <w:szCs w:val="24"/>
          <w:shd w:fill="f8f8f8" w:val="clear"/>
          <w:rtl w:val="0"/>
        </w:rPr>
        <w:t xml:space="preserve">Getting up to Speed : The Future of Supercomputing</w:t>
      </w:r>
      <w:r w:rsidDel="00000000" w:rsidR="00000000" w:rsidRPr="00000000">
        <w:rPr>
          <w:rFonts w:ascii="Times" w:cs="Times" w:eastAsia="Times" w:hAnsi="Times"/>
          <w:sz w:val="24"/>
          <w:szCs w:val="24"/>
          <w:rtl w:val="0"/>
        </w:rPr>
        <w:t xml:space="preserve">”. This research emphasized the critical role of the United states in advancing supercomputing. Graham emphasizes the United States' significant history, leadership and innovation of supercomputing, stretching back to the 1940s.  Despite competition from Japanese vendors, the U.S. has maintained its leadership position by making major innovations, particularly in parallel supercomputing using commodity components. This concentration on innovation has pushed the country to the forefront of supercomputing technology.</w:t>
      </w:r>
    </w:p>
    <w:p w:rsidR="00000000" w:rsidDel="00000000" w:rsidP="00000000" w:rsidRDefault="00000000" w:rsidRPr="00000000" w14:paraId="0000000A">
      <w:pPr>
        <w:spacing w:after="240" w:before="240" w:line="480" w:lineRule="auto"/>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Supercomputing has always been a specialized form of computing, demanding higher performance and emphasizing mathematical aspects and scientific simulations. While supercomputing has evolved separately from mainstream computing, there has been significant interplay between the two domains, driving advancements in hardware and software technologies. Supercomputing has played a crucial role in national security, scientific innovation, and social concerns throughout history. Graham emphasizes the growing relevance of supercomputing in a variety of fields, including stockpile management, military intelligence, climate prediction, transportation, industry, and fundamental scientific knowledge. Despite continual advances in capabilities, supercomputers continue to fall short of satisfying the demands of these vital applications.</w:t>
      </w:r>
    </w:p>
    <w:p w:rsidR="00000000" w:rsidDel="00000000" w:rsidP="00000000" w:rsidRDefault="00000000" w:rsidRPr="00000000" w14:paraId="0000000B">
      <w:pPr>
        <w:spacing w:after="240" w:before="240" w:line="480" w:lineRule="auto"/>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Graham underlines the need for ongoing expenditures and innovation in supercomputing to meet the increasing scale and complexity of new applications. The growing disparity between processor speed and communication latency emphasizes the necessity for specialized technology to attain acceptable performance levels. While commodity clusters meet the demands of many users, specialized supercomputers are necessary for applications that need increased main memory bandwidth, latency concealing, and worldwide interconnects.</w:t>
      </w:r>
    </w:p>
    <w:p w:rsidR="00000000" w:rsidDel="00000000" w:rsidP="00000000" w:rsidRDefault="00000000" w:rsidRPr="00000000" w14:paraId="0000000C">
      <w:pPr>
        <w:spacing w:after="240" w:before="240" w:line="480" w:lineRule="auto"/>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Susan L. Graham's other significant research work is “language analysis and tools for ambiguous input streams”. Her research addresses lexical ambiguities and semantic disambiguation in programming languages, especially in embedded languages, voice programming, and legacy languages. Her work has led to the development of batch GLR parser error recovery and automated semantic disambiguation, improving the accuracy and efficiency of language analysis tools. The research group's contributions span a wide range of computer science topics, including the invention of approaches for batch GLR parser error recovery and semantic analysis of embedded languages. These contributions address fundamental difficulties in language analysis and tool support, with the goal of improving the design and analysis of complicated programming languages.</w:t>
      </w:r>
    </w:p>
    <w:p w:rsidR="00000000" w:rsidDel="00000000" w:rsidP="00000000" w:rsidRDefault="00000000" w:rsidRPr="00000000" w14:paraId="0000000D">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tab/>
        <w:t xml:space="preserve">The research group's work offers a step forward in language analysis tools, notably for tackling lexical ambiguities and semantic disambiguation in programming languages. The group is expanding the capabilities of current language analysis tools to meet the needs of modern programming practices by providing tools and analyses for embedded languages, voice programming, and legacy language support.Improved language analysis tools may have a favorable influence on software development techniques, resulting in more efficient and dependable systems. The study helps to improve technology and creativity in a variety of sectors by making it easier for language designers to define and evaluate complicated programming languages.</w:t>
      </w:r>
    </w:p>
    <w:p w:rsidR="00000000" w:rsidDel="00000000" w:rsidP="00000000" w:rsidRDefault="00000000" w:rsidRPr="00000000" w14:paraId="0000000E">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The research group's continued efforts to include batch error recovery and automated semantic disambiguation show a dedication to solving developing issues in language analysis. By constantly improving and expanding its methodologies, the group hopes to give language designers more sophisticated tools for developing and evaluating programming languages, allowing for the construction of more resilient and efficient software systems. Overall, the research achievements mark a substantial progress in language analysis and tool creation in computer science. By tackling crucial difficulties and pushing the limits of current methodologies, the research has the potential to stimulate innovation and enhance software development processes now and in the future.</w:t>
      </w:r>
    </w:p>
    <w:p w:rsidR="00000000" w:rsidDel="00000000" w:rsidP="00000000" w:rsidRDefault="00000000" w:rsidRPr="00000000" w14:paraId="0000000F">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color w:val="0d0d0d"/>
          <w:sz w:val="24"/>
          <w:szCs w:val="24"/>
          <w:highlight w:val="white"/>
          <w:rtl w:val="0"/>
        </w:rPr>
        <w:t xml:space="preserve">Graham's work on "Accurate Static Estimators for Program Optimization" published in SIGPLAN Notices in 1994, contributes significantly to computer science in multiple aspects. It </w:t>
      </w:r>
      <w:r w:rsidDel="00000000" w:rsidR="00000000" w:rsidRPr="00000000">
        <w:rPr>
          <w:rFonts w:ascii="Times" w:cs="Times" w:eastAsia="Times" w:hAnsi="Times"/>
          <w:sz w:val="24"/>
          <w:szCs w:val="24"/>
          <w:rtl w:val="0"/>
        </w:rPr>
        <w:t xml:space="preserve">provides optimizing compilers with accurate estimates of relative execution counts of program Firstly, their research has evolved technology by introducing a series of estimation techniques that rival the predictive ability of profiling for intra-procedural frequencies. These techniques offer a more efficient and cost-effective alternative to profiling, potentially eliminating the expense and complexity associated with it. Moreover, their exploration of better modeling of control flow using a Markov model highlights advancements in understanding and improving prediction techniques for function invocation counts and other inter-procedural quantities.</w:t>
      </w:r>
    </w:p>
    <w:p w:rsidR="00000000" w:rsidDel="00000000" w:rsidP="00000000" w:rsidRDefault="00000000" w:rsidRPr="00000000" w14:paraId="00000010">
      <w:pPr>
        <w:spacing w:after="240" w:before="240" w:line="480" w:lineRule="auto"/>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impact of their contributions on society is primarily positive, as it enhances the efficiency and effectiveness of optimizing compilers, leading to improved software performance and reduced development costs. By providing accurate estimates of execution counts, their techniques enable developers to make more informed decisions during the optimization process, ultimately resulting in better-performing software systems. Additionally, the accessibility of these techniques for implementation in production compilers ensures widespread adoption and benefits for the broader software development community.</w:t>
      </w:r>
    </w:p>
    <w:p w:rsidR="00000000" w:rsidDel="00000000" w:rsidP="00000000" w:rsidRDefault="00000000" w:rsidRPr="00000000" w14:paraId="00000011">
      <w:pPr>
        <w:spacing w:after="240" w:before="240" w:line="480" w:lineRule="auto"/>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Overall, Graham’s work represents a significant advancement in compiler optimization techniques, with implications for both technological evolution and societal benefit. Their research not only enhances the capabilities of optimizing compilers but also contributes to the broader goal of improving software development practices and outcomes.</w:t>
      </w:r>
    </w:p>
    <w:p w:rsidR="00000000" w:rsidDel="00000000" w:rsidP="00000000" w:rsidRDefault="00000000" w:rsidRPr="00000000" w14:paraId="00000012">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Susan L. Graham's pioneering contributions to computer science inspire not only me but generations to come through her groundbreaking research, leadership, and impact on the field. Graham's research on the future of supercomputing highlights her visionary approach to advancing technology. By highlighting the importance of the United States in driving progress in supercomputing, she pushes future generations to push the limits of computing. Her emphasis on important advancements in parallel supercomputing utilizing commodity components establishes a precedent for using new technology to address complicated issues, pushing scholars to pursue unique methods to supercomputing.</w:t>
      </w:r>
    </w:p>
    <w:p w:rsidR="00000000" w:rsidDel="00000000" w:rsidP="00000000" w:rsidRDefault="00000000" w:rsidRPr="00000000" w14:paraId="00000013">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Graham's research on language analysis and tools for ambiguous input streams demonstrates her commitment to addressing fundamental challenges in computer science. Her work in developing batch GLR parser error recovery and automated semantic disambiguation showcases her ability to tackle complex problems with innovative solutions. This inspires future researchers to explore new methodologies and techniques for language analysis, paving the way for improved programming languages and software development practices.</w:t>
      </w:r>
    </w:p>
    <w:p w:rsidR="00000000" w:rsidDel="00000000" w:rsidP="00000000" w:rsidRDefault="00000000" w:rsidRPr="00000000" w14:paraId="00000014">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Graham's effect as a prominent professor and academic leader is much greater than her scholarly efforts. Her leadership responsibilities, such as founding editor of ACM Transactions on Programming Languages and Systems, indicate her commitment to improving the discipline and encouraging cooperation among scholars. Graham's guidance and membership in significant organizations motivate future generations of computer scientists to strive for professional excellence and make meaningful contributions to technological growth.</w:t>
      </w:r>
    </w:p>
    <w:p w:rsidR="00000000" w:rsidDel="00000000" w:rsidP="00000000" w:rsidRDefault="00000000" w:rsidRPr="00000000" w14:paraId="00000015">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r>
    </w:p>
    <w:p w:rsidR="00000000" w:rsidDel="00000000" w:rsidP="00000000" w:rsidRDefault="00000000" w:rsidRPr="00000000" w14:paraId="00000016">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r>
    </w:p>
    <w:p w:rsidR="00000000" w:rsidDel="00000000" w:rsidP="00000000" w:rsidRDefault="00000000" w:rsidRPr="00000000" w14:paraId="00000017">
      <w:pPr>
        <w:spacing w:after="240" w:before="240" w:line="480" w:lineRule="auto"/>
        <w:ind w:left="720"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720"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ind w:left="720"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ind w:left="720"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left="720"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72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Work Cited</w:t>
        <w:tab/>
      </w:r>
    </w:p>
    <w:p w:rsidR="00000000" w:rsidDel="00000000" w:rsidP="00000000" w:rsidRDefault="00000000" w:rsidRPr="00000000" w14:paraId="0000001D">
      <w:pPr>
        <w:spacing w:after="240" w:before="240" w:line="480" w:lineRule="auto"/>
        <w:ind w:left="0"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Patterson, Cynthia A., Marc Snir, and Susan L. Graham. “Getting up to </w:t>
      </w:r>
    </w:p>
    <w:p w:rsidR="00000000" w:rsidDel="00000000" w:rsidP="00000000" w:rsidRDefault="00000000" w:rsidRPr="00000000" w14:paraId="0000001E">
      <w:pPr>
        <w:spacing w:after="240" w:before="240" w:line="480" w:lineRule="auto"/>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Speed: The Future of Supercomputing”. </w:t>
      </w:r>
      <w:r w:rsidDel="00000000" w:rsidR="00000000" w:rsidRPr="00000000">
        <w:rPr>
          <w:rFonts w:ascii="Times" w:cs="Times" w:eastAsia="Times" w:hAnsi="Times"/>
          <w:i w:val="1"/>
          <w:sz w:val="24"/>
          <w:szCs w:val="24"/>
          <w:highlight w:val="white"/>
          <w:rtl w:val="0"/>
        </w:rPr>
        <w:t xml:space="preserve">National Academies Press</w:t>
      </w:r>
      <w:r w:rsidDel="00000000" w:rsidR="00000000" w:rsidRPr="00000000">
        <w:rPr>
          <w:rFonts w:ascii="Times" w:cs="Times" w:eastAsia="Times" w:hAnsi="Times"/>
          <w:sz w:val="24"/>
          <w:szCs w:val="24"/>
          <w:highlight w:val="white"/>
          <w:rtl w:val="0"/>
        </w:rPr>
        <w:t xml:space="preserve">, 2005.</w:t>
      </w:r>
    </w:p>
    <w:p w:rsidR="00000000" w:rsidDel="00000000" w:rsidP="00000000" w:rsidRDefault="00000000" w:rsidRPr="00000000" w14:paraId="0000001F">
      <w:pPr>
        <w:spacing w:after="240" w:before="240" w:line="48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ab/>
      </w:r>
      <w:r w:rsidDel="00000000" w:rsidR="00000000" w:rsidRPr="00000000">
        <w:rPr>
          <w:rFonts w:ascii="Times" w:cs="Times" w:eastAsia="Times" w:hAnsi="Times"/>
          <w:sz w:val="24"/>
          <w:szCs w:val="24"/>
          <w:rtl w:val="0"/>
        </w:rPr>
        <w:t xml:space="preserve">Begel, Andrew, and Susan L. Graham. “Language Analysis and Tools for </w:t>
      </w:r>
      <w:r w:rsidDel="00000000" w:rsidR="00000000" w:rsidRPr="00000000">
        <w:rPr>
          <w:rtl w:val="0"/>
        </w:rPr>
      </w:r>
    </w:p>
    <w:p w:rsidR="00000000" w:rsidDel="00000000" w:rsidP="00000000" w:rsidRDefault="00000000" w:rsidRPr="00000000" w14:paraId="00000020">
      <w:pPr>
        <w:spacing w:after="240" w:before="240" w:line="480" w:lineRule="auto"/>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Ambiguous Input Streams.” </w:t>
      </w:r>
      <w:r w:rsidDel="00000000" w:rsidR="00000000" w:rsidRPr="00000000">
        <w:rPr>
          <w:rFonts w:ascii="Times" w:cs="Times" w:eastAsia="Times" w:hAnsi="Times"/>
          <w:i w:val="1"/>
          <w:sz w:val="24"/>
          <w:szCs w:val="24"/>
          <w:rtl w:val="0"/>
        </w:rPr>
        <w:t xml:space="preserve">Electronic Notes in Theoretical Computer Science</w:t>
      </w:r>
      <w:r w:rsidDel="00000000" w:rsidR="00000000" w:rsidRPr="00000000">
        <w:rPr>
          <w:rFonts w:ascii="Times" w:cs="Times" w:eastAsia="Times" w:hAnsi="Times"/>
          <w:sz w:val="24"/>
          <w:szCs w:val="24"/>
          <w:rtl w:val="0"/>
        </w:rPr>
        <w:t xml:space="preserve">, vol. 110, 2004, pp. 75–96, </w:t>
      </w:r>
      <w:r w:rsidDel="00000000" w:rsidR="00000000" w:rsidRPr="00000000">
        <w:rPr>
          <w:rFonts w:ascii="Times" w:cs="Times" w:eastAsia="Times" w:hAnsi="Times"/>
          <w:sz w:val="24"/>
          <w:szCs w:val="24"/>
          <w:rtl w:val="0"/>
        </w:rPr>
        <w:t xml:space="preserve">https://doi.org/10.1016/j.entcs.2004.06.009</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1">
      <w:pPr>
        <w:spacing w:after="240" w:before="240" w:line="480" w:lineRule="auto"/>
        <w:ind w:left="720" w:firstLine="0"/>
        <w:rPr>
          <w:rFonts w:ascii="Times" w:cs="Times" w:eastAsia="Times" w:hAnsi="Times"/>
          <w:i w:val="1"/>
          <w:sz w:val="24"/>
          <w:szCs w:val="24"/>
        </w:rPr>
      </w:pPr>
      <w:r w:rsidDel="00000000" w:rsidR="00000000" w:rsidRPr="00000000">
        <w:rPr>
          <w:rFonts w:ascii="Times" w:cs="Times" w:eastAsia="Times" w:hAnsi="Times"/>
          <w:sz w:val="24"/>
          <w:szCs w:val="24"/>
          <w:rtl w:val="0"/>
        </w:rPr>
        <w:t xml:space="preserve">Wagner, Tim A, and Susan L. Graham. “Accurate Static Estimators for Program Optimization.” </w:t>
      </w:r>
      <w:r w:rsidDel="00000000" w:rsidR="00000000" w:rsidRPr="00000000">
        <w:rPr>
          <w:rtl w:val="0"/>
        </w:rPr>
      </w:r>
    </w:p>
    <w:p w:rsidR="00000000" w:rsidDel="00000000" w:rsidP="00000000" w:rsidRDefault="00000000" w:rsidRPr="00000000" w14:paraId="00000022">
      <w:pPr>
        <w:spacing w:after="240" w:before="240" w:line="480" w:lineRule="auto"/>
        <w:ind w:left="1440" w:firstLine="0"/>
        <w:rPr>
          <w:rFonts w:ascii="Times" w:cs="Times" w:eastAsia="Times" w:hAnsi="Times"/>
          <w:sz w:val="24"/>
          <w:szCs w:val="24"/>
        </w:rPr>
      </w:pPr>
      <w:r w:rsidDel="00000000" w:rsidR="00000000" w:rsidRPr="00000000">
        <w:rPr>
          <w:rFonts w:ascii="Times" w:cs="Times" w:eastAsia="Times" w:hAnsi="Times"/>
          <w:i w:val="1"/>
          <w:sz w:val="24"/>
          <w:szCs w:val="24"/>
          <w:rtl w:val="0"/>
        </w:rPr>
        <w:t xml:space="preserve">SIGPLAN Notices</w:t>
      </w:r>
      <w:r w:rsidDel="00000000" w:rsidR="00000000" w:rsidRPr="00000000">
        <w:rPr>
          <w:rFonts w:ascii="Times" w:cs="Times" w:eastAsia="Times" w:hAnsi="Times"/>
          <w:sz w:val="24"/>
          <w:szCs w:val="24"/>
          <w:rtl w:val="0"/>
        </w:rPr>
        <w:t xml:space="preserve">, vol. 29, no. 6, 1994, pp. 85–96, https://doi.org/10.1145/773473.178251.</w:t>
      </w:r>
    </w:p>
    <w:p w:rsidR="00000000" w:rsidDel="00000000" w:rsidP="00000000" w:rsidRDefault="00000000" w:rsidRPr="00000000" w14:paraId="00000023">
      <w:pPr>
        <w:spacing w:after="240" w:before="240" w:line="480" w:lineRule="auto"/>
        <w:ind w:left="72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spacing w:line="480" w:lineRule="auto"/>
        <w:ind w:left="1440" w:hanging="720"/>
        <w:jc w:val="center"/>
        <w:rPr>
          <w:rFonts w:ascii="Times" w:cs="Times" w:eastAsia="Times" w:hAnsi="Times"/>
          <w:sz w:val="24"/>
          <w:szCs w:val="24"/>
        </w:rPr>
      </w:pPr>
      <w:r w:rsidDel="00000000" w:rsidR="00000000" w:rsidRPr="00000000">
        <w:rPr>
          <w:rFonts w:ascii="Times" w:cs="Times" w:eastAsia="Times" w:hAnsi="Times"/>
          <w:sz w:val="24"/>
          <w:szCs w:val="24"/>
          <w:rtl w:val="0"/>
        </w:rPr>
        <w:tab/>
        <w:tab/>
        <w:tab/>
        <w:tab/>
        <w:tab/>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