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</w:pPr>
      <w:r>
        <w:rPr>
          <w:rFonts w:ascii="Cambria" w:cs="Cambria" w:eastAsia="Cambria" w:hAnsi="Cambria"/>
          <w:b/>
          <w:bCs/>
          <w:color w:val="7A1030"/>
          <w:sz w:val="64"/>
          <w:szCs w:val="64"/>
        </w:rPr>
        <w:t xml:space="preserve">Heart Disease Risk Prediction</w:t>
      </w:r>
    </w:p>
    <w:p>
      <w:pPr>
        <w:spacing w:after="600"/>
      </w:pPr>
      <w:r>
        <w:rPr>
          <w:rFonts w:ascii="Cambria" w:cs="Cambria" w:eastAsia="Cambria" w:hAnsi="Cambria"/>
          <w:color w:val="1B1F2A"/>
          <w:sz w:val="32"/>
          <w:szCs w:val="32"/>
        </w:rPr>
        <w:t xml:space="preserve">A leakage-free machine-learning pipeline for clinical triage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Problem-Based Learning (PBL) Project Report</w:t>
      </w:r>
    </w:p>
    <w:p>
      <w:pPr>
        <w:spacing w:after="400"/>
      </w:pPr>
      <w:r>
        <w:rPr>
          <w:rFonts w:ascii="Calibri" w:cs="Calibri" w:eastAsia="Calibri" w:hAnsi="Calibri"/>
          <w:sz w:val="24"/>
          <w:szCs w:val="24"/>
        </w:rPr>
        <w:t xml:space="preserve">AIDS Department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Student:</w:t>
      </w:r>
      <w:r>
        <w:rPr>
          <w:rFonts w:ascii="Calibri" w:cs="Calibri" w:eastAsia="Calibri" w:hAnsi="Calibri"/>
          <w:sz w:val="22"/>
          <w:szCs w:val="22"/>
        </w:rPr>
        <w:t xml:space="preserve"> Rohit Dnyaneshwar Mahale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PRN:</w:t>
      </w:r>
      <w:r>
        <w:rPr>
          <w:rFonts w:ascii="Calibri" w:cs="Calibri" w:eastAsia="Calibri" w:hAnsi="Calibri"/>
          <w:sz w:val="22"/>
          <w:szCs w:val="22"/>
        </w:rPr>
        <w:t xml:space="preserve"> 2125UDSM2043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Class:</w:t>
      </w:r>
      <w:r>
        <w:rPr>
          <w:rFonts w:ascii="Calibri" w:cs="Calibri" w:eastAsia="Calibri" w:hAnsi="Calibri"/>
          <w:sz w:val="22"/>
          <w:szCs w:val="22"/>
        </w:rPr>
        <w:t xml:space="preserve"> TY AIDS-B (Third Year), AIDS Department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</w:t>
      </w:r>
      <w:r>
        <w:rPr>
          <w:rFonts w:ascii="Calibri" w:cs="Calibri" w:eastAsia="Calibri" w:hAnsi="Calibri"/>
          <w:sz w:val="22"/>
          <w:szCs w:val="22"/>
        </w:rPr>
        <w:t xml:space="preserve"> October 2026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Abstract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Cardiology capacity is limited, and a missed heart-disease patient is far costlier than an unnecessary referral. We built a decision-support model that predicts heart disease from eleven routine clinical measurements and converts the prediction into Low / Moderate / High risk tiers. Using the public Heart Failure Prediction dataset (918 patients), we replaced a basic notebook — which imputed impossible cholesterol zeros with the mean and compared five models on a single split — with a complete, leakage-free pipeline: zero-to-missing handling with a missing-value indicator, median imputation, IQR winsorising, scaling and encoding inside a scikit-learn Pipeline; clinically motivated feature engineering; seven algorithms compared by repeated stratified cross-validation; grid-search tuning; and threshold selection from out-of-fold predictions.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final Random Forest reached, on a 184-patient hold-out set never used for any decision,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recall 0.922, precision 0.847, F1 0.883 and ROC-AUC 0.926</w:t>
      </w:r>
      <w:r>
        <w:rPr>
          <w:rFonts w:ascii="Calibri" w:cs="Calibri" w:eastAsia="Calibri" w:hAnsi="Calibri"/>
          <w:sz w:val="22"/>
          <w:szCs w:val="22"/>
        </w:rPr>
        <w:t xml:space="preserve">, meeting all four pre-declared KPIs. The ST-segment slope is by far the strongest predictor. The risk tiers separate patients well (observed disease rate 3.8 % / 27.5 % / 85.8 %), and at screening-population prevalence the model is projected to cut specialist referrals by about 65 % while still catching 92 % of sick patients. A Streamlit web application demonstrates the model. We also report limitations honestly: a small pooled legacy dataset, a thin female subgroup, and the need for local validation.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1. Problem Definition and Business Understanding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1.1 Problem statement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Cardiovascular disease is the world's leading cause of death (about 17.9 million deaths a year, WHO). In primary-care and screening settings, doctors must decide quickly who needs a cardiology work-up, while specialist time, ECG and stress-test capacity are limited. Patients with early disease who are not flagged may leave without follow-up; healthy patients who are flagged consume scarce slots.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</w:t>
      </w:r>
      <w:r>
        <w:rPr>
          <w:rFonts w:ascii="Calibri" w:cs="Calibri" w:eastAsia="Calibri" w:hAnsi="Calibri"/>
          <w:sz w:val="22"/>
          <w:szCs w:val="22"/>
        </w:rPr>
        <w:t xml:space="preserve"> given routine measurements taken at a screening visit, predict whether a patient has heart disease, so clinicians can prioritise high-risk patients for referral.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Build a reproducible, leakage-free ML pipeline that predicts HeartDisease.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Achieve high recall (sensitivity ≥ 0.90) while keeping precision reasonable.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Identify the clinical factors that drive risk and turn them into screening guidance.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Deliver a risk-tier output (Low / Moderate / High) and a deployable web demo.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1.3 Stakeholders and business relevance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cantSplit/>
          <w:tblHeader/>
        </w:trPr>
        <w:tc>
          <w:tcPr>
            <w:tcW w:type="dxa" w:w="3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5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Interest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General practitioners, screening-camp doctors</w:t>
            </w:r>
          </w:p>
        </w:tc>
        <w:tc>
          <w:tcPr>
            <w:tcW w:type="dxa" w:w="5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Fast, explainable second opinion at the point of care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Cardiology department, hospital administration</w:t>
            </w:r>
          </w:p>
        </w:tc>
        <w:tc>
          <w:tcPr>
            <w:tcW w:type="dxa" w:w="5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Better use of limited specialist, ECG and stress-test capacity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Patients</w:t>
            </w:r>
          </w:p>
        </w:tc>
        <w:tc>
          <w:tcPr>
            <w:tcW w:type="dxa" w:w="5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Earlier detection and treatment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Insurers, public-health programmes</w:t>
            </w:r>
          </w:p>
        </w:tc>
        <w:tc>
          <w:tcPr>
            <w:tcW w:type="dxa" w:w="5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Lower cost of late-stage treatment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1.4 Key performance indicators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cantSplit/>
          <w:tblHeader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Recall (sensitivity)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≥ 0.90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 missed patient (false negative) is the most dangerous and costly error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≥ 0.80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Keeps unnecessary referrals manageable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F1-score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≥ 0.85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Balance of the two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ROC-AUC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≥ 0.90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Threshold-independent ranking quality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Expected cost per 100 patients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Minimise</w:t>
            </w:r>
          </w:p>
        </w:tc>
        <w:tc>
          <w:tcPr>
            <w:tcW w:type="dxa" w:w="52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Converts model errors into business terms (FN assumed 10× FP)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 note:</w:t>
      </w:r>
      <w:r>
        <w:rPr>
          <w:rFonts w:ascii="Calibri" w:cs="Calibri" w:eastAsia="Calibri" w:hAnsi="Calibri"/>
          <w:sz w:val="22"/>
          <w:szCs w:val="22"/>
        </w:rPr>
        <w:t xml:space="preserve"> this is a triage prototype trained on a small public dataset. It is not a diagnostic device and does not replace clinical judgement.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2. Dataset and Data Understanding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Source:</w:t>
      </w:r>
      <w:r>
        <w:rPr>
          <w:rFonts w:ascii="Calibri" w:cs="Calibri" w:eastAsia="Calibri" w:hAnsi="Calibri"/>
          <w:sz w:val="22"/>
          <w:szCs w:val="22"/>
        </w:rPr>
        <w:t xml:space="preserve"> Heart Failure Prediction Dataset (Kaggle, fedesoriano, 2021), a combination of five independent heart-disease datasets (Cleveland, Hungarian, Switzerland, Long Beach VA, Stalog) with 11 common features and 918 unique patients (Open Database License). The target HeartDisease equals 1 for 508 patients (55.3 %) and 0 for 410 (44.7 %).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2.1 Data dictionary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3300"/>
        <w:gridCol w:w="2726"/>
      </w:tblGrid>
      <w:tr>
        <w:trPr>
          <w:cantSplit/>
          <w:tblHeader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Values / units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 of patient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years (28–77)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Sex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Sex of patient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 / F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ChestPainType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Type of chest pain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TA, ATA, NAP, ASY (asymptomatic)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RestingBP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 systolic blood pressure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mm Hg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Cholesterol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Serum cholesterol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mg/dl (0 = not recorded)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FastingBS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Binary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Fasting blood sugar &gt; 120 mg/dl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 / 0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RestingECG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 ECG result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Normal, ST, LVH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MaxHR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Maximum heart rate in exercise test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bpm (60–202)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ExerciseAngina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Binary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Exercise-induced angina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Y / 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Oldpeak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 depression induced by exercise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mm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ST_Slope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Slope of peak-exercise ST segment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Up, Flat, Down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HeartDisease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Binary (target)</w:t>
            </w:r>
          </w:p>
        </w:tc>
        <w:tc>
          <w:tcPr>
            <w:tcW w:type="dxa" w:w="3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Heart disease present</w:t>
            </w:r>
          </w:p>
        </w:tc>
        <w:tc>
          <w:tcPr>
            <w:tcW w:type="dxa" w:w="27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 / 0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2.2 Data-quality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cantSplit/>
          <w:tblHeader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Shape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918 rows × 12 columns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Missing values (NaN)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Duplicate rows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Cholesterol = 0 (impossible; means not measured)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172 rows (18.7 %)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RestingBP = 0 (impossible)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 row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Oldpeak &lt; 0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13 rows (valid: ST elevation, kept)</w:t>
            </w:r>
          </w:p>
        </w:tc>
      </w:tr>
      <w:tr>
        <w:trPr>
          <w:cantSplit/>
          <w:tblHeader w:val="false"/>
        </w:trPr>
        <w:tc>
          <w:tcPr>
            <w:tcW w:type="dxa" w:w="5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Class balance</w:t>
            </w:r>
          </w:p>
        </w:tc>
        <w:tc>
          <w:tcPr>
            <w:tcW w:type="dxa" w:w="3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55.3 % disease / 44.7 % healthy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dataset looks clean — no NaN, no duplicates — yet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172 patients have Cholesterol recorded as 0</w:t>
      </w:r>
      <w:r>
        <w:rPr>
          <w:rFonts w:ascii="Calibri" w:cs="Calibri" w:eastAsia="Calibri" w:hAnsi="Calibri"/>
          <w:sz w:val="22"/>
          <w:szCs w:val="22"/>
        </w:rPr>
        <w:t xml:space="preserve">. These are not real measurements. Crucially, their disease rate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88.4 %</w:t>
      </w:r>
      <w:r>
        <w:rPr>
          <w:rFonts w:ascii="Calibri" w:cs="Calibri" w:eastAsia="Calibri" w:hAnsi="Calibri"/>
          <w:sz w:val="22"/>
          <w:szCs w:val="22"/>
        </w:rPr>
        <w:t xml:space="preserve"> versus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47.7 %</w:t>
      </w:r>
      <w:r>
        <w:rPr>
          <w:rFonts w:ascii="Calibri" w:cs="Calibri" w:eastAsia="Calibri" w:hAnsi="Calibri"/>
          <w:sz w:val="22"/>
          <w:szCs w:val="22"/>
        </w:rPr>
        <w:t xml:space="preserve"> for patients with a recorded value, so the missingness itself is informative. Classes are reasonably balanced, so no resampling was needed.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3. Data Preprocessing and Cleaning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All transformations are implemented in a reusable module (heart_utils.py) as scikit-learn transformers inside one Pipeline. Every statistic — medians, IQR fences, scaler parameters, one-hot categories — is learned only from training data (and re-learned inside each cross-validation fold), which prevents leakage. The identical pipeline object is saved and used by the web application.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cantSplit/>
          <w:tblHeader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found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Treatment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172 Cholesterol = 0, 1 RestingBP = 0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Set to NaN, median imputation, plus Chol_Missing indicator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Zeros are impossible; mean-filling hid an informative signal; median is robust to skew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Outliers (BP 2.9 %, Cholesterol 3.1 %, Oldpeak 1.7 %, MaxHR 0.2 %)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IQR winsorising (1.5 × IQR), bounds learned on train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Keeps all rows in a small dataset while limiting leverage of extremes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Mixed feature scales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Required by LR, KNN, SVM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Categorical features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One-hot encoding (binary → one column)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No false ordinal order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Duplicates / NaN</w:t>
            </w:r>
          </w:p>
        </w:tc>
        <w:tc>
          <w:tcPr>
            <w:tcW w:type="dxa" w:w="3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None found</w:t>
            </w:r>
          </w:p>
        </w:tc>
        <w:tc>
          <w:tcPr>
            <w:tcW w:type="dxa" w:w="3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1343025"/>
            <wp:effectExtent t="0" r="0" b="0" l="0"/>
            <wp:docPr id="1" name="03_outliers_boxplots.png" descr="Figure 1. Outlier inspection with impossible zeros converted to NaN." title="Figure 1. Outlier inspection with impossible zeros converted to N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1. Outlier inspection with impossible zeros converted to NaN.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03_cholesterol_before_after.png" descr="Figure 2. Cholesterol: raw data, original mean-fill, and the improved median-fill with missing flag." title="Figure 2. Cholesterol: raw data, original mean-fill, and the improved median-fill with missing fla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2. Cholesterol: raw data, original mean-fill, and the improved median-fill with missing flag.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original strategy produced an artificial spike at the mean (≈ 245 mg/dl). The improved strategy keeps a realistic distribution and preserves the missingness signal. An ablation (Section 5.3) shows outlier clipping is performance-neutral on this dataset (ΔAUC ≤ 0.001); it is kept as a robustness safeguard for the deployed app, where users may enter extreme values.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4. Exploratory Data Analysis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619500" cy="1447800"/>
            <wp:effectExtent t="0" r="0" b="0" l="0"/>
            <wp:docPr id="1" name="04_target_distribution.png" descr="Figure 3. Class distribution of HeartDisease." title="Figure 3. Class distribution of HeartDise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3. Class distribution of HeartDisease.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1990725"/>
            <wp:effectExtent t="0" r="0" b="0" l="0"/>
            <wp:docPr id="1" name="04_numeric_vs_target.png" descr="Figure 4. Numeric features by heart-disease status." title="Figure 4. Numeric features by heart-disease statu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4. Numeric features by heart-disease status.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2705100"/>
            <wp:effectExtent t="0" r="0" b="0" l="0"/>
            <wp:docPr id="1" name="04_categorical_vs_target.png" descr="Figure 5. Heart-disease rate by category (dashed line = overall 55.3 %)." title="Figure 5. Heart-disease rate by category (dashed line = overall 55.3 %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5. Heart-disease rate by category (dashed line = overall 55.3 %).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4.1 Statistical tests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Numeric features were compared with the Mann–Whitney U test (non-parametric, because distributions are skewed) and categorical features with the chi-square test and Cramér's V. All features differ significantly between classes (p &lt; 0.01).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500"/>
        <w:gridCol w:w="3926"/>
      </w:tblGrid>
      <w:tr>
        <w:trPr>
          <w:cantSplit/>
          <w:tblHeader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 size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ST_Slope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Chi²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V = 0.62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Flat 83 %, Down 78 %, Up 20 % disease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ChestPainType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Chi²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V = 0.54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ASY 79 % vs ATA 14 %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ExerciseAngina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Chi²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V = 0.49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Yes 85 % vs No 35 %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Oldpeak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Mann–Whitney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 = 0.47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Median 1.2 vs 0.0 mm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MaxHR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Mann–Whitney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 = 0.47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Median 126 vs 150 bpm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Sex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Chi²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V = 0.30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Men 63 % vs women 26 %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Mann–Whitney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 = 0.34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Median 57 vs 51 years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RestingECG</w:t>
            </w:r>
          </w:p>
        </w:tc>
        <w:tc>
          <w:tcPr>
            <w:tcW w:type="dxa" w:w="17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Chi²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V = 0.11</w:t>
            </w:r>
          </w:p>
        </w:tc>
        <w:tc>
          <w:tcPr>
            <w:tcW w:type="dxa" w:w="39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Weak association</w:t>
            </w:r>
          </w:p>
        </w:tc>
      </w:tr>
    </w:tbl>
    <w:p>
      <w:pPr>
        <w:spacing w:after="60"/>
      </w:pPr>
    </w:p>
    <w:p>
      <w:pPr>
        <w:keepNext/>
        <w:spacing w:after="40" w:before="10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04_correlation.png" descr="Figure 6. Correlation matrix of encoded features and correlation with the target." title="Figure 6. Correlation matrix of encoded features and correlation with the targ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6. Correlation matrix of encoded features and correlation with the target.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04_multivariate.png" descr="Figure 7. Age versus MaxHR, and disease rate by ST_Slope × age group." title="Figure 7. Age versus MaxHR, and disease rate by ST_Slope × age grou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7. Age versus MaxHR, and disease rate by ST_Slope × age group.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4.2 Key insights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ST_Slope is the strongest single predictor.</w:t>
      </w:r>
      <w:r>
        <w:rPr>
          <w:rFonts w:ascii="Calibri" w:cs="Calibri" w:eastAsia="Calibri" w:hAnsi="Calibri"/>
          <w:sz w:val="22"/>
          <w:szCs w:val="22"/>
        </w:rPr>
        <w:t xml:space="preserve"> A flat or downsloping slope signals 78–83 % disease; an upsloping slope only 20 %.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Silent disease is the dangerous kind.</w:t>
      </w:r>
      <w:r>
        <w:rPr>
          <w:rFonts w:ascii="Calibri" w:cs="Calibri" w:eastAsia="Calibri" w:hAnsi="Calibri"/>
          <w:sz w:val="22"/>
          <w:szCs w:val="22"/>
        </w:rPr>
        <w:t xml:space="preserve"> Asymptomatic chest pain carries a 79 % disease rate.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Exercise angina and low peak heart rate</w:t>
      </w:r>
      <w:r>
        <w:rPr>
          <w:rFonts w:ascii="Calibri" w:cs="Calibri" w:eastAsia="Calibri" w:hAnsi="Calibri"/>
          <w:sz w:val="22"/>
          <w:szCs w:val="22"/>
        </w:rPr>
        <w:t xml:space="preserve"> (and high Oldpeak) mark diseased patients; flat slope plus exercise angina gives 90 % disease (n = 272).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Demographics:</w:t>
      </w:r>
      <w:r>
        <w:rPr>
          <w:rFonts w:ascii="Calibri" w:cs="Calibri" w:eastAsia="Calibri" w:hAnsi="Calibri"/>
          <w:sz w:val="22"/>
          <w:szCs w:val="22"/>
        </w:rPr>
        <w:t xml:space="preserve"> men 63 % vs women 26 %; disease rate rises with age (31 % under 45, 71 % at 55–65); fasting sugar &gt; 120 mg/dl 79 % vs 48 %.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Interaction:</w:t>
      </w:r>
      <w:r>
        <w:rPr>
          <w:rFonts w:ascii="Calibri" w:cs="Calibri" w:eastAsia="Calibri" w:hAnsi="Calibri"/>
          <w:sz w:val="22"/>
          <w:szCs w:val="22"/>
        </w:rPr>
        <w:t xml:space="preserve"> an upsloping ST segment is low-risk when young (10 % under 45) but rises with age (39 % at 65+), whereas a flat slope is high-risk at every age (70–85 %).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Multicollinearity</w:t>
      </w:r>
      <w:r>
        <w:rPr>
          <w:rFonts w:ascii="Calibri" w:cs="Calibri" w:eastAsia="Calibri" w:hAnsi="Calibri"/>
          <w:sz w:val="22"/>
          <w:szCs w:val="22"/>
        </w:rPr>
        <w:t xml:space="preserve"> is confined to engineered features and their parents (for example MaxHR and HR_Pct_Max, r = 0.95), which regularised and tree-based models tolerate.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5. Feature Engineering, Selection and Leakage Control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5.1 Engineered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cantSplit/>
          <w:tblHeader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Chol_Missing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Cholesterol recorded as 0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Missingness is informative (89.9 % vs 47.9 % disease)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HR_Pct_Max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MaxHR / (220 − Age)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Share of age-predicted maximum heart rate reached; fairer across ages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ST_Depression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Oldpeak ≥ 1 mm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Clinical threshold for significant ST depression (77.5 % vs 36.9 %)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Hypertensive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RestingBP ≥ 140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Stage-2 hypertension cut-off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Chol_High</w:t>
            </w:r>
          </w:p>
        </w:tc>
        <w:tc>
          <w:tcPr>
            <w:tcW w:type="dxa" w:w="28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Cholesterol ≥ 240 (recorded)</w:t>
            </w:r>
          </w:p>
        </w:tc>
        <w:tc>
          <w:tcPr>
            <w:tcW w:type="dxa" w:w="4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High-cholesterol cut-off; found not useful (confounded with missingness)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5.2 Leakage-control checklist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The data are split first; imputation medians, IQR fences, scaler and encoder are fit on training data only, inside the Pipeline.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No target-derived features. Oldpeak, ST_Slope and ExerciseAngina come from a stress test — legitimate inputs for a cardiology work-up, but not available at a basic GP visit (see Limitations).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Hyper-parameters were tuned only on the training set by cross-validation; the test set was used once for the final report.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The decision threshold was chosen from out-of-fold training predictions, never from test data.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5.3 Ablation of preprocessing choices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Four preprocessing variants were compared by repeated stratified 5×3 cross-validation on the training set.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400"/>
        <w:gridCol w:w="1400"/>
        <w:gridCol w:w="1426"/>
      </w:tblGrid>
      <w:tr>
        <w:trPr>
          <w:cantSplit/>
          <w:tblHeader/>
        </w:trPr>
        <w:tc>
          <w:tcPr>
            <w:tcW w:type="dxa" w:w="3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Variant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LR F1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LR AUC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 F1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RF AUC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A: no FE, no outlier clipping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0.920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B: no FE, + IQR clipping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0.919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0.875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0.925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C: + FE, no clipping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0.873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D: + FE + IQR clipping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0.874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0.927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Feature engineering raises Logistic-Regression F1 from 0.863 to 0.876 and AUC from 0.920 to 0.926; clipping is neutral.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5.4 Feature selection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000500" cy="2971800"/>
            <wp:effectExtent t="0" r="0" b="0" l="0"/>
            <wp:docPr id="1" name="05_mutual_information.png" descr="Figure 8. Mutual information between each pre-processed feature and the target (training set)." title="Figure 8. Mutual information between each pre-processed feature and the target (training s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8. Mutual information between each pre-processed feature and the target (training set).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ANOVA-F and mutual-information rankings agree: ST_Slope_Up / Flat, ExerciseAngina_Y, ChestPainType_ASY, MaxHR and Oldpeak lead; Age, ChestPainType_NAP and RestingECG rank lowest. Selecting the top-k features inside the CV loop gave AUC 0.906 (k = 6), 0.921 (10), 0.929 (14), 0.928 (18) and 0.926 (all 23). The +0.004 gain at k = 14 is within cross-validation noise, so all features were retained.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6. Model Selection and Implementation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6.1 Methodology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Stratified 80/20 hold-out split (734 training, 184 test patients); the test set stays locked until the final evaluation.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Seven algorithms, each wrapped in the same leakage-safe pipeline, compared by repeated stratified 5×3 cross-validation.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Grid-search tuning (5-fold, scoring ROC-AUC) of the five strongest models, plus a soft-voting ensemble of tuned LR, SVM and RF.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Final model chosen by cross-validation only: highest CV ROC-AUC; ties within 0.002 go to the higher F1.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it is included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Interpretable linear baseline (odds ratios), preferred in clinical settings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KNN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Instance-based; captures local patient similarity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Gaussian Naive Bayes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Fast probabilistic baseline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Human-readable rules, but high variance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SVM (RBF)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Strong on small tabular data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Bagged trees; handles non-linearity and interactions; robust to noise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6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Sequential trees; often best on tabular data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6.2 Baseline comparison (default hyper-parameters)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200"/>
        <w:gridCol w:w="1200"/>
        <w:gridCol w:w="1200"/>
        <w:gridCol w:w="1400"/>
        <w:gridCol w:w="1400"/>
      </w:tblGrid>
      <w:tr>
        <w:trPr>
          <w:cantSplit/>
          <w:tblHeader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0.856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0.853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0.897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0.874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0.927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0.861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0.865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0.889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0.859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0.870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0.878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0.923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SVM (RBF)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0.858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0.855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0.899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Naive Bayes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0.848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0.865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0.912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KNN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0.829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0.842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0.854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0.847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0.892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Decision Tree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0.798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0.822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0.812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0.816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0.796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4953000" cy="2124075"/>
            <wp:effectExtent t="0" r="0" b="0" l="0"/>
            <wp:docPr id="1" name="06_baseline_models.png" descr="Figure 9. Baseline models under repeated stratified cross-validation." title="Figure 9. Baseline models under repeated stratified cross-valid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9. Baseline models under repeated stratified cross-validation.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Random Forest, Logistic Regression, SVM and Gradient Boosting cluster at CV AUC 0.92–0.93. The single Decision Tree is clearly the weakest (AUC 0.796), the classic high-variance behaviour that ensembling corrects.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6.3 Tuned models and final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1200"/>
        <w:gridCol w:w="1200"/>
        <w:gridCol w:w="1200"/>
        <w:gridCol w:w="1400"/>
        <w:gridCol w:w="1400"/>
      </w:tblGrid>
      <w:tr>
        <w:trPr>
          <w:cantSplit/>
          <w:tblHeader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 (tuned)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Gradient Boosting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0.860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0.856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0.901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0.877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0.932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0.861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0.854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0.906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0.878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6D9D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1F2A"/>
                <w:sz w:val="19"/>
                <w:szCs w:val="19"/>
              </w:rPr>
              <w:t xml:space="preserve">0.931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Voting Ensemble (LR+SVM+RF)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0.860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0.858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0.898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0.877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0.930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0.861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0.865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0.889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0.926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SVM (RBF)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0.857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0.855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0.896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0.874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0.925</w:t>
            </w:r>
          </w:p>
        </w:tc>
      </w:tr>
      <w:tr>
        <w:trPr>
          <w:cantSplit/>
          <w:tblHeader w:val="false"/>
        </w:trPr>
        <w:tc>
          <w:tcPr>
            <w:tcW w:type="dxa" w:w="26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KNN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0.860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0.862</w:t>
            </w:r>
          </w:p>
        </w:tc>
        <w:tc>
          <w:tcPr>
            <w:tcW w:type="dxa" w:w="1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0.893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0.876</w:t>
            </w:r>
          </w:p>
        </w:tc>
        <w:tc>
          <w:tcPr>
            <w:tcW w:type="dxa" w:w="1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B1F2A"/>
                <w:sz w:val="19"/>
                <w:szCs w:val="19"/>
              </w:rPr>
              <w:t xml:space="preserve">0.918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Gradient Boosting and Random Forest tie on AUC (0.9316 vs 0.9314); by the pre-declared tie-break,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Random Forest</w:t>
      </w:r>
      <w:r>
        <w:rPr>
          <w:rFonts w:ascii="Calibri" w:cs="Calibri" w:eastAsia="Calibri" w:hAnsi="Calibri"/>
          <w:sz w:val="22"/>
          <w:szCs w:val="22"/>
        </w:rPr>
        <w:t xml:space="preserve"> wins on F1 (0.878) and recall (0.906) — the clinically important KPI. Its tuned parameters are max_depth = 6, min_samples_leaf = 3, max_features = sqrt and 300 trees. The voting ensemble gave no gain, so its extra complexity is not justified.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7. Model Evaluation and Validation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Accuracy alone is misleading in a medical setting, so we report recall (the primary KPI), precision, specificity, F1, ROC-AUC, PR-AUC, MCC and Brier score, with bootstrap 95 % confidence intervals because the test set is small.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7.1 Threshold selection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Using out-of-fold training predictions,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standard threshold (0.50)</w:t>
      </w:r>
      <w:r>
        <w:rPr>
          <w:rFonts w:ascii="Calibri" w:cs="Calibri" w:eastAsia="Calibri" w:hAnsi="Calibri"/>
          <w:sz w:val="22"/>
          <w:szCs w:val="22"/>
        </w:rPr>
        <w:t xml:space="preserve"> is the highest-precision cut-off with recall ≥ 0.90 (out-of-fold recall 0.904, precision 0.852).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high-sensitivity threshold (0.35)</w:t>
      </w:r>
      <w:r>
        <w:rPr>
          <w:rFonts w:ascii="Calibri" w:cs="Calibri" w:eastAsia="Calibri" w:hAnsi="Calibri"/>
          <w:sz w:val="22"/>
          <w:szCs w:val="22"/>
        </w:rPr>
        <w:t xml:space="preserve"> reaches out-of-fold recall ≥ 0.95 (precision 0.808) for mass-screening settings.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095750" cy="2095500"/>
            <wp:effectExtent t="0" r="0" b="0" l="0"/>
            <wp:docPr id="1" name="07_threshold_analysis.png" descr="Figure 10. Recall, precision and F1 versus threshold (out-of-fold, training set)." title="Figure 10. Recall, precision and F1 versus threshold (out-of-fold, training set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10. Recall, precision and F1 versus threshold (out-of-fold, training set).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7.2 Hold-out test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326"/>
      </w:tblGrid>
      <w:tr>
        <w:trPr>
          <w:cantSplit/>
          <w:tblHeader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 (0.50)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95 % CI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High-sensitivity (0.35)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Recall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0.922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0.865 – 0.971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0.961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Precision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0.847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0.779 – 0.909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0.797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Specificity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0.793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0.699 – 0.875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0.695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F1-score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0.883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0.833 – 0.924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0.871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Accuracy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0.864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0.810 – 0.908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0.842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ROC-AUC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0.883 – 0.962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0.926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PR-AUC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0.925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0.869 – 0.970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0.925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MCC</w:t>
            </w:r>
          </w:p>
        </w:tc>
        <w:tc>
          <w:tcPr>
            <w:tcW w:type="dxa" w:w="20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0.726</w:t>
            </w:r>
          </w:p>
        </w:tc>
        <w:tc>
          <w:tcPr>
            <w:tcW w:type="dxa" w:w="2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0.693</w:t>
            </w:r>
          </w:p>
        </w:tc>
      </w:tr>
    </w:tbl>
    <w:p>
      <w:pPr>
        <w:spacing w:after="60"/>
      </w:pPr>
    </w:p>
    <w:p>
      <w:pPr>
        <w:keepNext/>
        <w:spacing w:after="40" w:before="100"/>
        <w:jc w:val="center"/>
      </w:pPr>
      <w:r>
        <w:drawing>
          <wp:inline distT="0" distB="0" distL="0" distR="0">
            <wp:extent cx="5334000" cy="2190750"/>
            <wp:effectExtent t="0" r="0" b="0" l="0"/>
            <wp:docPr id="1" name="07_confusion_matrices.png" descr="Figure 11. Confusion matrices at the standard (left) and high-sensitivity (right) thresholds." title="Figure 11. Confusion matrices at the standard (left) and high-sensitivity (right) threshol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11. Confusion matrices at the standard (left) and high-sensitivity (right) thresholds.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At the standard threshold only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8 of 102 sick patients are missed</w:t>
      </w:r>
      <w:r>
        <w:rPr>
          <w:rFonts w:ascii="Calibri" w:cs="Calibri" w:eastAsia="Calibri" w:hAnsi="Calibri"/>
          <w:sz w:val="22"/>
          <w:szCs w:val="22"/>
        </w:rPr>
        <w:t xml:space="preserve"> and 17 of 82 healthy patients are flagged. At the high-sensitivity threshold about 4 sick patients are missed, at the cost of precision 0.797 and specificity 0.695. All four KPIs are met at the standard threshold (recall 0.922 ≥ 0.90, precision 0.847 ≥ 0.80, F1 0.883 ≥ 0.85, AUC 0.926 ≥ 0.90). Cross-validated AUC (0.931) and test AUC (0.926) agree, so there is no sign of optimistic tuning.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5905500" cy="1704975"/>
            <wp:effectExtent t="0" r="0" b="0" l="0"/>
            <wp:docPr id="1" name="07_roc_pr_calibration.png" descr="Figure 12. ROC curves, precision–recall curves and calibration on the test set." title="Figure 12. ROC curves, precision–recall curves and calibration on the test s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12. ROC curves, precision–recall curves and calibration on the test set.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On the test set the tuned models reach AUC 0.926–0.940 (LR 0.936, SVM 0.940, RF 0.926). With a ±0.04 confidence interval these are statistically indistinguishable, matching the cross-validation result. We kept the pre-declared choice rather than switching after inspecting test data; Logistic Regression is a near-equal, fully interpretable fallback. Random-Forest probabilities are slightly compressed (predicted 0.20 → observed ≈ 0.10), so scores should be read as risk ranks; probability calibration is listed as future work.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810000" cy="2133600"/>
            <wp:effectExtent t="0" r="0" b="0" l="0"/>
            <wp:docPr id="1" name="07_learning_curve.png" descr="Figure 13. Learning curve (training AUC 0.976 vs validation AUC 0.932 — mild over-fitting)." title="Figure 13. Learning curve (training AUC 0.976 vs validation AUC 0.932 — mild over-fitti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13. Learning curve (training AUC 0.976 vs validation AUC 0.932 — mild over-fitting).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7.3 Interpretation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4191000" cy="2571750"/>
            <wp:effectExtent t="0" r="0" b="0" l="0"/>
            <wp:docPr id="1" name="07_permutation_importance.png" descr="Figure 14. Permutation importance on the test set (drop in AUC when a feature is shuffled)." title="Figure 14. Permutation importance on the test set (drop in AUC when a feature is shuffle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14. Permutation importance on the test set (drop in AUC when a feature is shuffled).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ST_Slope dominates (−0.110 AUC when shuffled), followed by ChestPainType (0.019), Cholesterol including its missing flag (0.017) and Sex (0.011). An interpretable logistic-regression companion gives odds ratios: cholesterol not recorded ×3.7, asymptomatic chest pain ×2.9, male ×2.8, flat ST slope ×2.7, exercise angina ×2.2, fasting sugar &gt; 120 ×2.1; an upsloping ST segment is protective (×0.31).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7.4 Error analysis and fairness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8 false negatives look healthy on the stress test: 7 of 8 have an upsloping ST segment, their median MaxHR is 159 (125 for correctly caught cases) and their median Oldpeak is 0.45 (1.5); 6 of 8 have non-asymptomatic chest pain. The model therefore misses atypical, stress-test-normal presentations, and "low risk" must never be read as "no risk".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500"/>
        <w:gridCol w:w="1300"/>
        <w:gridCol w:w="1500"/>
        <w:gridCol w:w="1426"/>
      </w:tblGrid>
      <w:tr>
        <w:trPr>
          <w:cantSplit/>
          <w:tblHeader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Subgroup (test set)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Disease rate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Women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38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15.8 %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0.833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0.455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0.964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Men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146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65.8 %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0.927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0.890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0.905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 &lt; 50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70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38.6 %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0.889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0.750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0.923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 50–60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81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58.0 %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0.915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0.860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0.920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Age 60+</w:t>
            </w:r>
          </w:p>
        </w:tc>
        <w:tc>
          <w:tcPr>
            <w:tcW w:type="dxa" w:w="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33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84.8 %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0.964</w:t>
            </w:r>
          </w:p>
        </w:tc>
        <w:tc>
          <w:tcPr>
            <w:tcW w:type="dxa" w:w="15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0.931</w:t>
            </w:r>
          </w:p>
        </w:tc>
        <w:tc>
          <w:tcPr>
            <w:tcW w:type="dxa" w:w="14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0.864</w:t>
            </w:r>
          </w:p>
        </w:tc>
      </w:tr>
    </w:tbl>
    <w:p>
      <w:pPr>
        <w:spacing w:after="60"/>
      </w:pP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Recall is high for men and older patients. The female subgroup contains only 6 sick patients, giving more false alarms (precision 0.455) — an early fairness flag that calls for more female data before any real use.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8. Business Insights and Recommendations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8.1 Risk tiers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Out-of-fold probabilities for all 918 patients were grouped into three tiers (Low &lt; 0.20, Moderate 0.20–0.50, High ≥ 0.50), giving honest estimates of how each tier behaves.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900"/>
        <w:gridCol w:w="2100"/>
        <w:gridCol w:w="1826"/>
      </w:tblGrid>
      <w:tr>
        <w:trPr>
          <w:cantSplit/>
          <w:tblHeader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Patients</w:t>
            </w:r>
          </w:p>
        </w:tc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 of patients</w:t>
            </w:r>
          </w:p>
        </w:tc>
        <w:tc>
          <w:tcPr>
            <w:tcW w:type="dxa" w:w="2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Observed disease rate</w:t>
            </w:r>
          </w:p>
        </w:tc>
        <w:tc>
          <w:tcPr>
            <w:tcW w:type="dxa" w:w="1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Share of all cases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Low risk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240</w:t>
            </w:r>
          </w:p>
        </w:tc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26.1 %</w:t>
            </w:r>
          </w:p>
        </w:tc>
        <w:tc>
          <w:tcPr>
            <w:tcW w:type="dxa" w:w="2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3.8 %</w:t>
            </w:r>
          </w:p>
        </w:tc>
        <w:tc>
          <w:tcPr>
            <w:tcW w:type="dxa" w:w="1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1.8 %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Moderate risk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142</w:t>
            </w:r>
          </w:p>
        </w:tc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15.5 %</w:t>
            </w:r>
          </w:p>
        </w:tc>
        <w:tc>
          <w:tcPr>
            <w:tcW w:type="dxa" w:w="2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27.5 %</w:t>
            </w:r>
          </w:p>
        </w:tc>
        <w:tc>
          <w:tcPr>
            <w:tcW w:type="dxa" w:w="1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7.7 %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High risk</w:t>
            </w:r>
          </w:p>
        </w:tc>
        <w:tc>
          <w:tcPr>
            <w:tcW w:type="dxa" w:w="13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536</w:t>
            </w:r>
          </w:p>
        </w:tc>
        <w:tc>
          <w:tcPr>
            <w:tcW w:type="dxa" w:w="1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58.4 %</w:t>
            </w:r>
          </w:p>
        </w:tc>
        <w:tc>
          <w:tcPr>
            <w:tcW w:type="dxa" w:w="21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85.8 %</w:t>
            </w:r>
          </w:p>
        </w:tc>
        <w:tc>
          <w:tcPr>
            <w:tcW w:type="dxa" w:w="18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90.6 %</w:t>
            </w:r>
          </w:p>
        </w:tc>
      </w:tr>
    </w:tbl>
    <w:p>
      <w:pPr>
        <w:keepNext/>
        <w:spacing w:after="40" w:before="100"/>
        <w:jc w:val="center"/>
      </w:pPr>
      <w:r>
        <w:drawing>
          <wp:inline distT="0" distB="0" distL="0" distR="0">
            <wp:extent cx="4953000" cy="1838325"/>
            <wp:effectExtent t="0" r="0" b="0" l="0"/>
            <wp:docPr id="1" name="08_risk_tiers.png" descr="Figure 15. Observed disease rate and workload by risk tier." title="Figure 15. Observed disease rate and workload by risk ti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15. Observed disease rate and workload by risk tier.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8.2 Cost and workload impact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With an illustrative assumption that a missed patient costs ten times an unnecessary referral, the value of the model depends strongly on how common the disease is in the population being screened.</w:t>
      </w:r>
    </w:p>
    <w:p>
      <w:pPr>
        <w:keepNext/>
        <w:spacing w:after="40" w:before="100"/>
        <w:jc w:val="center"/>
      </w:pPr>
      <w:r>
        <w:drawing>
          <wp:inline distT="0" distB="0" distL="0" distR="0">
            <wp:extent cx="3143250" cy="1885950"/>
            <wp:effectExtent t="0" r="0" b="0" l="0"/>
            <wp:docPr id="1" name="08_cost_heatmap.png" descr="Figure 16. Cost saving of the model versus the best naive strategy (refer everybody or nobody)." title="Figure 16. Cost saving of the model versus the best naive strategy (refer everybody or nobody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60"/>
        <w:jc w:val="center"/>
      </w:pPr>
      <w:r>
        <w:rPr>
          <w:rFonts w:ascii="Calibri" w:cs="Calibri" w:eastAsia="Calibri" w:hAnsi="Calibri"/>
          <w:i/>
          <w:iCs/>
          <w:color w:val="5B6B7B"/>
          <w:sz w:val="19"/>
          <w:szCs w:val="19"/>
        </w:rPr>
        <w:t xml:space="preserve">Figure 16. Cost saving of the model versus the best naive strategy (refer everybody or nobody).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Screening populations (10–30 % prevalence):</w:t>
      </w:r>
      <w:r>
        <w:rPr>
          <w:rFonts w:ascii="Calibri" w:cs="Calibri" w:eastAsia="Calibri" w:hAnsi="Calibri"/>
          <w:sz w:val="22"/>
          <w:szCs w:val="22"/>
        </w:rPr>
        <w:t xml:space="preserve"> expected cost falls by about 46–71 % at a 10:1 cost ratio.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Already-referred populations such as this dataset (55 % prevalence):</w:t>
      </w:r>
      <w:r>
        <w:rPr>
          <w:rFonts w:ascii="Calibri" w:cs="Calibri" w:eastAsia="Calibri" w:hAnsi="Calibri"/>
          <w:sz w:val="22"/>
          <w:szCs w:val="22"/>
        </w:rPr>
        <w:t xml:space="preserve"> referring everyone is hard to beat at the standard threshold, so the value is prioritisation. The high-sensitivity mode is cheaper than referring everybody (35.3 vs 44.6 cost units per 100 patients, −21 %).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Projected workload (20 % prevalence, sensitivity 0.92, specificity 0.79):</w:t>
      </w:r>
      <w:r>
        <w:rPr>
          <w:rFonts w:ascii="Calibri" w:cs="Calibri" w:eastAsia="Calibri" w:hAnsi="Calibri"/>
          <w:sz w:val="22"/>
          <w:szCs w:val="22"/>
        </w:rPr>
        <w:t xml:space="preserve"> per 1,000 patients about 350 are referred instead of 1,000 (−65 %), while about 184 of 200 sick patients (92 %) are caught.</w:t>
      </w:r>
    </w:p>
    <w:p>
      <w:pPr>
        <w:pStyle w:val="Heading2"/>
        <w:keepNext/>
        <w:spacing w:after="120" w:before="240"/>
      </w:pPr>
      <w:r>
        <w:rPr>
          <w:rFonts w:ascii="Cambria" w:cs="Cambria" w:eastAsia="Cambria" w:hAnsi="Cambria"/>
          <w:b/>
          <w:bCs/>
          <w:color w:val="1B1F2A"/>
          <w:sz w:val="26"/>
          <w:szCs w:val="26"/>
        </w:rPr>
        <w:t xml:space="preserve">8.3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2900"/>
        <w:gridCol w:w="1526"/>
      </w:tblGrid>
      <w:tr>
        <w:trPr>
          <w:cantSplit/>
          <w:tblHeader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7A103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Adopt 3-tier triage: Low → routine advice and annual re-screen; Moderate → GP review and repeat tests within weeks; High → fast-track cardiology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Tier disease rates 3.8 % / 27.5 % / 85.8 %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Hospital admin, cardiology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Choose the threshold by setting: 0.50 where cardiology capacity is tight; 0.35 (recall 96 %) for community screening camps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Section 7.1; cost analysis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Medical director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Always record ST-segment slope and exercise-angina status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ST_Slope is the top feature; Flat/Down 78–83 % vs Up 20 %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Cardiology, lab staff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Make a lipid profile mandatory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19 % have no cholesterol value; 88 % of them are sick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Data quality, IT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Target outreach at silent high-risk groups: men over 55, diabetics, asymptomatic patients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ASY 79 % vs ATA 14 %; men 63 % vs women 26 %; FastingBS 79 % vs 48 %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Public-health team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Keep the clinician in the loop; show probability, not just a label; never discharge a symptomatic low-risk patient on the model alone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8 false negatives had normal-looking stress tests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shd w:fill="F3F5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Doctors</w:t>
            </w:r>
          </w:p>
        </w:tc>
      </w:tr>
      <w:tr>
        <w:trPr>
          <w:cantSplit/>
          <w:tblHeader w:val="false"/>
        </w:trPr>
        <w:tc>
          <w:tcPr>
            <w:tcW w:type="dxa" w:w="4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Pilot before deployment: validate on local data, add female patients, monitor subgroup recall and drift</w:t>
            </w:r>
          </w:p>
        </w:tc>
        <w:tc>
          <w:tcPr>
            <w:tcW w:type="dxa" w:w="2900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Female subgroup n = 38; 1980s–90s source data</w:t>
            </w:r>
          </w:p>
        </w:tc>
        <w:tc>
          <w:tcPr>
            <w:tcW w:type="dxa" w:w="1526"/>
            <w:tcBorders>
              <w:top w:val="single" w:color="C9D0D8" w:sz="4"/>
              <w:left w:val="single" w:color="C9D0D8" w:sz="4"/>
              <w:bottom w:val="single" w:color="C9D0D8" w:sz="4"/>
              <w:right w:val="single" w:color="C9D0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B1F2A"/>
                <w:sz w:val="19"/>
                <w:szCs w:val="19"/>
              </w:rPr>
              <w:t xml:space="preserve">Data-science team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9. Deployment and Reproducibility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The trained pipeline, thresholds and tier boundaries are saved to model/heart_model.joblib (refit on all 918 patients with the tuned hyper-parameters; the metrics above come from the train-only model). A Streamlit application (app.py) loads the artifact and provides: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Input of the 11 clinical measurements, including a "cholesterol not measured" option.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Estimated risk score, risk tier, referral decision and recommended action, with a Standard / High-sensitivity toggle.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 "Why this score?" chart: the change in predicted risk when each input is replaced by a typical training value.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 run:</w:t>
      </w:r>
      <w:r>
        <w:rPr>
          <w:rFonts w:ascii="Calibri" w:cs="Calibri" w:eastAsia="Calibri" w:hAnsi="Calibri"/>
          <w:sz w:val="22"/>
          <w:szCs w:val="22"/>
        </w:rPr>
        <w:t xml:space="preserve"> pip install -r requirements.txt, then streamlit run app.py. The notebook Heart_Disease_Prediction_Final.ipynb reproduces every number and figure in this report (random seed 42).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10. Limitations and Future Work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Small, pooled legacy data (918 patients, 1980s–90s):</w:t>
      </w:r>
      <w:r>
        <w:rPr>
          <w:rFonts w:ascii="Calibri" w:cs="Calibri" w:eastAsia="Calibri" w:hAnsi="Calibri"/>
          <w:sz w:val="22"/>
          <w:szCs w:val="22"/>
        </w:rPr>
        <w:t xml:space="preserve"> possible population shift; external validation on local hospital data is required.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Stress-test inputs:</w:t>
      </w:r>
      <w:r>
        <w:rPr>
          <w:rFonts w:ascii="Calibri" w:cs="Calibri" w:eastAsia="Calibri" w:hAnsi="Calibri"/>
          <w:sz w:val="22"/>
          <w:szCs w:val="22"/>
        </w:rPr>
        <w:t xml:space="preserve"> Oldpeak, ST_Slope, ExerciseAngina and MaxHR need an exercise test and are unavailable at a basic GP visit. A "GP-lite" model without them is a useful follow-up.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Informative missingness:</w:t>
      </w:r>
      <w:r>
        <w:rPr>
          <w:rFonts w:ascii="Calibri" w:cs="Calibri" w:eastAsia="Calibri" w:hAnsi="Calibri"/>
          <w:sz w:val="22"/>
          <w:szCs w:val="22"/>
        </w:rPr>
        <w:t xml:space="preserve"> the 172 missing cholesterol values are not missing at random; median imputation plus an indicator is pragmatic, not perfect.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Uncertainty:</w:t>
      </w:r>
      <w:r>
        <w:rPr>
          <w:rFonts w:ascii="Calibri" w:cs="Calibri" w:eastAsia="Calibri" w:hAnsi="Calibri"/>
          <w:sz w:val="22"/>
          <w:szCs w:val="22"/>
        </w:rPr>
        <w:t xml:space="preserve"> the 184-patient test set gives wide confidence intervals, and the cost ratios are illustrative assumptions.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Future work:</w:t>
      </w:r>
      <w:r>
        <w:rPr>
          <w:rFonts w:ascii="Calibri" w:cs="Calibri" w:eastAsia="Calibri" w:hAnsi="Calibri"/>
          <w:sz w:val="22"/>
          <w:szCs w:val="22"/>
        </w:rPr>
        <w:t xml:space="preserve"> SHAP explanations, probability calibration, larger multi-centre data, a broader fairness audit, and MLOps monitoring for drift.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11. Individual Contribution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This is an individual project. All stages — problem definition, data understanding, preprocessing, exploratory analysis, feature engineering, modelling, evaluation, business recommendations, the Streamlit application, this report and the presentation — were carried out by the author, Rohit Dnyaneshwar Mahale (PRN 2125UDSM2043).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12. Conclusion</w:t>
      </w:r>
    </w:p>
    <w:p>
      <w:pPr>
        <w:spacing w:after="140" w:line="276"/>
      </w:pPr>
      <w:r>
        <w:rPr>
          <w:rFonts w:ascii="Calibri" w:cs="Calibri" w:eastAsia="Calibri" w:hAnsi="Calibri"/>
          <w:sz w:val="22"/>
          <w:szCs w:val="22"/>
        </w:rPr>
        <w:t xml:space="preserve">Starting from a basic notebook, we built a complete, leakage-free pipeline that identifies heart-disease patients with recall 0.92 and ROC-AUC 0.93 on unseen data, explains its predictions, and converts them into three actionable risk tiers and a web demo. The most important lessons were practical: impossible zeros carry signal and should be flagged rather than averaged away; the ST-segment slope is the dominant predictor; and a model's business value depends on the prevalence of the population it serves. Before real-world use, the model needs local validation, more data for women, and clinician oversight.</w:t>
      </w:r>
    </w:p>
    <w:p>
      <w:pPr>
        <w:pStyle w:val="Heading1"/>
        <w:keepNext/>
        <w:spacing w:after="160" w:before="360"/>
      </w:pPr>
      <w:r>
        <w:rPr>
          <w:rFonts w:ascii="Cambria" w:cs="Cambria" w:eastAsia="Cambria" w:hAnsi="Cambria"/>
          <w:b/>
          <w:bCs/>
          <w:color w:val="7A1030"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fedesoriano. Heart Failure Prediction Dataset. Kaggle, 2021.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World Health Organization. Cardiovascular diseases (CVDs) — fact sheet.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Pedregosa F. et al. Scikit-learn: Machine Learning in Python. Journal of Machine Learning Research 12 (2011).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Detrano R. et al. International application of a new probability algorithm for the diagnosis of coronary artery disease. American Journal of Cardiology 64 (1989).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B7B"/>
        <w:sz w:val="18"/>
        <w:szCs w:val="18"/>
      </w:rPr>
      <w:t xml:space="preserve">Page </w:t>
    </w:r>
    <w:r>
      <w:rPr>
        <w:rFonts w:ascii="Calibri" w:cs="Calibri" w:eastAsia="Calibri" w:hAnsi="Calibri"/>
        <w:color w:val="5B6B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B7B"/>
        <w:sz w:val="18"/>
        <w:szCs w:val="18"/>
      </w:rPr>
      <w:t xml:space="preserve">Heart Disease Risk Prediction · AIDS PBL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mbria" w:cs="Cambria" w:eastAsia="Cambria" w:hAnsi="Cambria"/>
      <w:b/>
      <w:bCs/>
      <w:color w:val="7A10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mbria" w:cs="Cambria" w:eastAsia="Cambria" w:hAnsi="Cambria"/>
      <w:b/>
      <w:bCs/>
      <w:color w:val="1B1F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2e1a0858ab752fe7da672dbea573d32bcdff4ef.png"/><Relationship Id="rId10" Type="http://schemas.openxmlformats.org/officeDocument/2006/relationships/image" Target="media/00e617eb7fea879cb9d1f54fdb0430c0c9a5c1e3.png"/><Relationship Id="rId11" Type="http://schemas.openxmlformats.org/officeDocument/2006/relationships/image" Target="media/6aff8d9b56ef012d7fa3cd6511fbc55bff08db7a.png"/><Relationship Id="rId12" Type="http://schemas.openxmlformats.org/officeDocument/2006/relationships/image" Target="media/f7bb4f24e8c0825648ec089831a645be3aa2a269.png"/><Relationship Id="rId13" Type="http://schemas.openxmlformats.org/officeDocument/2006/relationships/image" Target="media/5f946090524f1d638b295d0c9aa686b5a066b62b.png"/><Relationship Id="rId14" Type="http://schemas.openxmlformats.org/officeDocument/2006/relationships/image" Target="media/2802e9975b157e997cd2724c71c6a42424f9baff.png"/><Relationship Id="rId15" Type="http://schemas.openxmlformats.org/officeDocument/2006/relationships/image" Target="media/d004ebb6e3dd85e9d5115e888b6e4d4a94737111.png"/><Relationship Id="rId16" Type="http://schemas.openxmlformats.org/officeDocument/2006/relationships/image" Target="media/506e5961b1d3c571bb0fdfeb8d1a44c2710272ae.png"/><Relationship Id="rId17" Type="http://schemas.openxmlformats.org/officeDocument/2006/relationships/image" Target="media/2fa88cae142457d7af2f6a90160defd4907e40e8.png"/><Relationship Id="rId18" Type="http://schemas.openxmlformats.org/officeDocument/2006/relationships/image" Target="media/38a2c022a959e9b531cb70e83372abf3610b62a5.png"/><Relationship Id="rId19" Type="http://schemas.openxmlformats.org/officeDocument/2006/relationships/image" Target="media/5229bc8b13533b533d6babebde086b197734d83a.png"/><Relationship Id="rId20" Type="http://schemas.openxmlformats.org/officeDocument/2006/relationships/image" Target="media/bc78c15bab084cfa290049d87dfd3798cfe638ba.png"/><Relationship Id="rId21" Type="http://schemas.openxmlformats.org/officeDocument/2006/relationships/image" Target="media/1a8983b7c2f6c0947e9137537afa870a3e1f435b.png"/><Relationship Id="rId22" Type="http://schemas.openxmlformats.org/officeDocument/2006/relationships/image" Target="media/28f58e1983f00d55c51a46e9d570db849b39f249.png"/><Relationship Id="rId23" Type="http://schemas.openxmlformats.org/officeDocument/2006/relationships/image" Target="media/ecdfe7e83854905303d0db3733f4211f3def8b5c.png"/><Relationship Id="rId24" Type="http://schemas.openxmlformats.org/officeDocument/2006/relationships/image" Target="media/e5938ee08d5c8ea9ec1605f9e92748fdda023d34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— PBL Report</dc:title>
  <dc:creator>Rohit</dc:creator>
  <cp:lastModifiedBy>Un-named</cp:lastModifiedBy>
  <cp:revision>1</cp:revision>
  <dcterms:created xsi:type="dcterms:W3CDTF">2026-10-29T11:12:03.959Z</dcterms:created>
  <dcterms:modified xsi:type="dcterms:W3CDTF">2026-10-29T11:12:03.964Z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