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5D51D" w14:textId="59EACA0B" w:rsidR="00F50B72" w:rsidRDefault="00F50B72">
      <w:r>
        <w:t xml:space="preserve">Blue : </w:t>
      </w:r>
      <w:proofErr w:type="spellStart"/>
      <w:r>
        <w:t>FastText</w:t>
      </w:r>
      <w:proofErr w:type="spellEnd"/>
      <w:r>
        <w:t xml:space="preserve">                   Red : TF-IDF_VMD</w:t>
      </w:r>
    </w:p>
    <w:p w14:paraId="68FAAC3B" w14:textId="1F55E92E" w:rsidR="00F50B72" w:rsidRDefault="00F50B72">
      <w:r>
        <w:rPr>
          <w:noProof/>
        </w:rPr>
        <w:drawing>
          <wp:inline distT="0" distB="0" distL="0" distR="0" wp14:anchorId="2EAD1D40" wp14:editId="41277C35">
            <wp:extent cx="4313750" cy="3886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184" cy="39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6DC20" wp14:editId="4A329E20">
            <wp:extent cx="4217334" cy="3878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879" cy="393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53BE" w14:textId="580BC861" w:rsidR="00F50B72" w:rsidRDefault="00F50B72"/>
    <w:p w14:paraId="57131B43" w14:textId="120DDD21" w:rsidR="00F50B72" w:rsidRDefault="00F50B72">
      <w:r>
        <w:t>The words “shelter” and “self-quarantine” are closer indicating better sematic relations</w:t>
      </w:r>
    </w:p>
    <w:p w14:paraId="5F565D76" w14:textId="6E2C9A48" w:rsidR="00F50B72" w:rsidRDefault="00F50B72">
      <w:r>
        <w:rPr>
          <w:noProof/>
        </w:rPr>
        <w:lastRenderedPageBreak/>
        <w:drawing>
          <wp:inline distT="0" distB="0" distL="0" distR="0" wp14:anchorId="4D8A9D3A" wp14:editId="59BEA930">
            <wp:extent cx="4421260" cy="41516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81" cy="41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2D27A" wp14:editId="1D8C96A9">
            <wp:extent cx="4336026" cy="41302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233" cy="41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0CDA" w14:textId="17952751" w:rsidR="00F50B72" w:rsidRDefault="00F50B72" w:rsidP="00F50B72">
      <w:r>
        <w:t>The words “</w:t>
      </w:r>
      <w:r>
        <w:t>Today coronavirus</w:t>
      </w:r>
      <w:r>
        <w:t>” and “</w:t>
      </w:r>
      <w:r>
        <w:t>corona</w:t>
      </w:r>
      <w:r>
        <w:t>” are closer indicating better sematic relations</w:t>
      </w:r>
    </w:p>
    <w:p w14:paraId="4027ADBF" w14:textId="77777777" w:rsidR="00F50B72" w:rsidRDefault="00F50B72"/>
    <w:p w14:paraId="51F2F593" w14:textId="5011FE28" w:rsidR="00B76EC2" w:rsidRDefault="00F50B72">
      <w:r>
        <w:rPr>
          <w:noProof/>
        </w:rPr>
        <w:lastRenderedPageBreak/>
        <w:drawing>
          <wp:inline distT="0" distB="0" distL="0" distR="0" wp14:anchorId="6285AFFE" wp14:editId="2196F0BB">
            <wp:extent cx="3871452" cy="375213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566" cy="377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24312" wp14:editId="1D83E1F5">
            <wp:extent cx="3977628" cy="366497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87" cy="36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E7B6" w14:textId="1F829988" w:rsidR="00F50B72" w:rsidRDefault="00F50B72" w:rsidP="00F50B72">
      <w:r>
        <w:t>The words “</w:t>
      </w:r>
      <w:r>
        <w:t xml:space="preserve">today </w:t>
      </w:r>
      <w:proofErr w:type="spellStart"/>
      <w:r>
        <w:t>covid</w:t>
      </w:r>
      <w:proofErr w:type="spellEnd"/>
      <w:r>
        <w:t>”</w:t>
      </w:r>
      <w:r>
        <w:t>,”people dying”</w:t>
      </w:r>
      <w:r>
        <w:t xml:space="preserve"> and “</w:t>
      </w:r>
      <w:r>
        <w:t>hospital</w:t>
      </w:r>
      <w:r>
        <w:t>” are closer indicating better sematic relations</w:t>
      </w:r>
    </w:p>
    <w:p w14:paraId="5D50130E" w14:textId="77777777" w:rsidR="00F50B72" w:rsidRDefault="00F50B72"/>
    <w:sectPr w:rsidR="00F50B72" w:rsidSect="00226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72"/>
    <w:rsid w:val="00226F98"/>
    <w:rsid w:val="00917F0C"/>
    <w:rsid w:val="00B76EC2"/>
    <w:rsid w:val="00E31A76"/>
    <w:rsid w:val="00F5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E269F"/>
  <w15:chartTrackingRefBased/>
  <w15:docId w15:val="{2DE80216-82C4-074F-AC2C-7BCDE900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Ramakrishnan</dc:creator>
  <cp:keywords/>
  <dc:description/>
  <cp:lastModifiedBy>Rohith Ramakrishnan</cp:lastModifiedBy>
  <cp:revision>1</cp:revision>
  <dcterms:created xsi:type="dcterms:W3CDTF">2021-02-01T04:28:00Z</dcterms:created>
  <dcterms:modified xsi:type="dcterms:W3CDTF">2021-02-01T04:36:00Z</dcterms:modified>
</cp:coreProperties>
</file>