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3C43" w:rsidRPr="00841C46" w:rsidRDefault="00841C46" w:rsidP="00841C46">
      <w:pPr>
        <w:pStyle w:val="Heading1"/>
        <w:jc w:val="center"/>
        <w:rPr>
          <w:b/>
          <w:bCs/>
          <w:color w:val="000000" w:themeColor="text1"/>
          <w:u w:val="single"/>
        </w:rPr>
      </w:pPr>
      <w:r w:rsidRPr="00841C46">
        <w:rPr>
          <w:b/>
          <w:bCs/>
          <w:color w:val="000000" w:themeColor="text1"/>
          <w:u w:val="single"/>
        </w:rPr>
        <w:t>Requirements Table — Freelance Content Creator Escrow Platform</w:t>
      </w:r>
    </w:p>
    <w:p w:rsidR="00841C46" w:rsidRPr="00841C46" w:rsidRDefault="00841C46" w:rsidP="00841C46">
      <w:pPr>
        <w:pStyle w:val="Heading1"/>
        <w:jc w:val="center"/>
        <w:rPr>
          <w:color w:val="000000" w:themeColor="text1"/>
          <w:u w:val="single"/>
        </w:rPr>
      </w:pPr>
      <w:bookmarkStart w:id="0" w:name="_GoBack"/>
      <w:bookmarkEnd w:id="0"/>
    </w:p>
    <w:tbl>
      <w:tblPr>
        <w:tblpPr w:leftFromText="180" w:rightFromText="180" w:vertAnchor="text" w:tblpY="1"/>
        <w:tblOverlap w:val="never"/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00"/>
        <w:gridCol w:w="4600"/>
        <w:gridCol w:w="1100"/>
        <w:gridCol w:w="3600"/>
        <w:gridCol w:w="2700"/>
      </w:tblGrid>
      <w:tr w:rsidR="00B93C43" w:rsidRPr="00841C46" w:rsidTr="00841C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841C46">
              <w:rPr>
                <w:b/>
                <w:bCs/>
                <w:color w:val="000000" w:themeColor="text1"/>
                <w:sz w:val="18"/>
                <w:szCs w:val="18"/>
              </w:rPr>
              <w:t>R</w:t>
            </w:r>
            <w:r w:rsidRPr="00841C46">
              <w:rPr>
                <w:b/>
                <w:bCs/>
                <w:color w:val="000000" w:themeColor="text1"/>
                <w:sz w:val="18"/>
                <w:szCs w:val="18"/>
              </w:rPr>
              <w:t>eq</w:t>
            </w:r>
            <w:proofErr w:type="spellEnd"/>
            <w:r w:rsidRPr="00841C46">
              <w:rPr>
                <w:b/>
                <w:bCs/>
                <w:color w:val="000000" w:themeColor="text1"/>
                <w:sz w:val="18"/>
                <w:szCs w:val="18"/>
              </w:rPr>
              <w:t xml:space="preserve"> ID</w:t>
            </w:r>
          </w:p>
        </w:tc>
        <w:tc>
          <w:tcPr>
            <w:tcW w:w="1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rPr>
                <w:color w:val="000000" w:themeColor="text1"/>
                <w:sz w:val="18"/>
                <w:szCs w:val="18"/>
              </w:rPr>
            </w:pPr>
            <w:r w:rsidRPr="00841C46">
              <w:rPr>
                <w:b/>
                <w:bCs/>
                <w:color w:val="000000" w:themeColor="text1"/>
                <w:sz w:val="18"/>
                <w:szCs w:val="18"/>
              </w:rPr>
              <w:t>Type</w:t>
            </w:r>
          </w:p>
        </w:tc>
        <w:tc>
          <w:tcPr>
            <w:tcW w:w="4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rPr>
                <w:color w:val="000000" w:themeColor="text1"/>
                <w:sz w:val="18"/>
                <w:szCs w:val="18"/>
              </w:rPr>
            </w:pPr>
            <w:r w:rsidRPr="00841C46">
              <w:rPr>
                <w:b/>
                <w:bCs/>
                <w:color w:val="000000" w:themeColor="text1"/>
                <w:sz w:val="18"/>
                <w:szCs w:val="18"/>
              </w:rPr>
              <w:t>Description</w:t>
            </w:r>
          </w:p>
        </w:tc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rPr>
                <w:color w:val="000000" w:themeColor="text1"/>
                <w:sz w:val="18"/>
                <w:szCs w:val="18"/>
              </w:rPr>
            </w:pPr>
            <w:r w:rsidRPr="00841C46">
              <w:rPr>
                <w:b/>
                <w:bCs/>
                <w:color w:val="000000" w:themeColor="text1"/>
                <w:sz w:val="18"/>
                <w:szCs w:val="18"/>
              </w:rPr>
              <w:t>Priority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rPr>
                <w:color w:val="000000" w:themeColor="text1"/>
                <w:sz w:val="18"/>
                <w:szCs w:val="18"/>
              </w:rPr>
            </w:pPr>
            <w:r w:rsidRPr="00841C46">
              <w:rPr>
                <w:b/>
                <w:bCs/>
                <w:color w:val="000000" w:themeColor="text1"/>
                <w:sz w:val="18"/>
                <w:szCs w:val="18"/>
              </w:rPr>
              <w:t>Acceptance Criteria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rPr>
                <w:color w:val="000000" w:themeColor="text1"/>
                <w:sz w:val="18"/>
                <w:szCs w:val="18"/>
              </w:rPr>
            </w:pPr>
            <w:r w:rsidRPr="00841C46">
              <w:rPr>
                <w:b/>
                <w:bCs/>
                <w:color w:val="000000" w:themeColor="text1"/>
                <w:sz w:val="18"/>
                <w:szCs w:val="18"/>
              </w:rPr>
              <w:t>Rationale</w:t>
            </w:r>
          </w:p>
        </w:tc>
      </w:tr>
      <w:tr w:rsidR="00B93C43" w:rsidRPr="00841C46" w:rsidTr="00841C46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FR-001</w:t>
            </w:r>
          </w:p>
        </w:tc>
        <w:tc>
          <w:tcPr>
            <w:tcW w:w="1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Functional</w:t>
            </w:r>
          </w:p>
        </w:tc>
        <w:tc>
          <w:tcPr>
            <w:tcW w:w="4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The system shall allow creators to submit draft media deliverables for client review and release locked milestone payments upon sponsor approval sign-off.</w:t>
            </w:r>
          </w:p>
        </w:tc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High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Pass: Milestone marked completed and funds credited to creator balance. Fail: Funds released without client sign-off.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Core value proposition — ties fund release strictly to verified deliverable approval, protecting both creator and sponsor.</w:t>
            </w:r>
          </w:p>
        </w:tc>
      </w:tr>
      <w:tr w:rsidR="00B93C43" w:rsidRPr="00841C46" w:rsidTr="00841C46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FR-002</w:t>
            </w:r>
          </w:p>
        </w:tc>
        <w:tc>
          <w:tcPr>
            <w:tcW w:w="1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Functio</w:t>
            </w:r>
            <w:r w:rsidRPr="00841C46">
              <w:rPr>
                <w:sz w:val="18"/>
                <w:szCs w:val="18"/>
              </w:rPr>
              <w:t>nal</w:t>
            </w:r>
          </w:p>
        </w:tc>
        <w:tc>
          <w:tcPr>
            <w:tcW w:w="4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The system shall allow a content creator and client sponsor to jointly define a project contract consisting of one or more milestones, each with a deliverable description, due date, and escrow payment amount, before work begins.</w:t>
            </w:r>
          </w:p>
        </w:tc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High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Pass: A milestone cannot be set to “Active” until both parties have digitally confirmed its description, due date, and amount. Fail: A milestone becomes active with only one party's confirmation.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Establishes an unambiguous, mutually agreed scope and paymen</w:t>
            </w:r>
            <w:r w:rsidRPr="00841C46">
              <w:rPr>
                <w:sz w:val="18"/>
                <w:szCs w:val="18"/>
              </w:rPr>
              <w:t>t amount up front, preventing later disputes over deliverable expectations.</w:t>
            </w:r>
          </w:p>
        </w:tc>
      </w:tr>
      <w:tr w:rsidR="00B93C43" w:rsidRPr="00841C46" w:rsidTr="00841C46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FR-003</w:t>
            </w:r>
          </w:p>
        </w:tc>
        <w:tc>
          <w:tcPr>
            <w:tcW w:w="1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Functional</w:t>
            </w:r>
          </w:p>
        </w:tc>
        <w:tc>
          <w:tcPr>
            <w:tcW w:w="4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The system shall automatically apply a visible watermark to every draft image or video asset uploaded by the creator before it becomes visible to the sponsor for</w:t>
            </w:r>
            <w:r w:rsidRPr="00841C46">
              <w:rPr>
                <w:sz w:val="18"/>
                <w:szCs w:val="18"/>
              </w:rPr>
              <w:t xml:space="preserve"> review.</w:t>
            </w:r>
          </w:p>
        </w:tc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High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Pass: 100% of sampled sponsor-visible draft previews display the watermark overlay. Fail: Any sponsor-visible draft is missing the watermark.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Prevents unauthorized use or redistribution of unpaid draft work, protecting the creator's intellect</w:t>
            </w:r>
            <w:r w:rsidRPr="00841C46">
              <w:rPr>
                <w:sz w:val="18"/>
                <w:szCs w:val="18"/>
              </w:rPr>
              <w:t>ual property during review.</w:t>
            </w:r>
          </w:p>
        </w:tc>
      </w:tr>
      <w:tr w:rsidR="00B93C43" w:rsidRPr="00841C46" w:rsidTr="00841C46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FR-004</w:t>
            </w:r>
          </w:p>
        </w:tc>
        <w:tc>
          <w:tcPr>
            <w:tcW w:w="1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Functional</w:t>
            </w:r>
          </w:p>
        </w:tc>
        <w:tc>
          <w:tcPr>
            <w:tcW w:w="4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The system shall allow the client sponsor to reject a submitted draft with written revision comments, reverting the milestone to a “Pending Revision” state and notifying the creator to resubmit.</w:t>
            </w:r>
          </w:p>
        </w:tc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Medium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Pass: Rejected milestone's funds remain locked in escrow and status changes to “Pending Revision” with the comment visible to the creator. Fail: Milestone auto-advances to “Completed” despite rejection, or comments are not delivered.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Gives sponsors a struc</w:t>
            </w:r>
            <w:r w:rsidRPr="00841C46">
              <w:rPr>
                <w:sz w:val="18"/>
                <w:szCs w:val="18"/>
              </w:rPr>
              <w:t>tured way to request changes without cancelling the contract or losing escrowed funds, supporting iteration.</w:t>
            </w:r>
          </w:p>
        </w:tc>
      </w:tr>
      <w:tr w:rsidR="00B93C43" w:rsidRPr="00841C46" w:rsidTr="00841C46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FR-005</w:t>
            </w:r>
          </w:p>
        </w:tc>
        <w:tc>
          <w:tcPr>
            <w:tcW w:w="1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Functional</w:t>
            </w:r>
          </w:p>
        </w:tc>
        <w:tc>
          <w:tcPr>
            <w:tcW w:w="4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The system shall allow either the creator or the sponsor to raise a dispute on a milestone that has been rejected twice, routing it to a neutral escrow moderator for review and a binding resolution decision.</w:t>
            </w:r>
          </w:p>
        </w:tc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Medium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 xml:space="preserve">Pass: A disputed milestone is frozen (no </w:t>
            </w:r>
            <w:r w:rsidRPr="00841C46">
              <w:rPr>
                <w:sz w:val="18"/>
                <w:szCs w:val="18"/>
              </w:rPr>
              <w:t>payment release or auto-cancellation) until the moderator records a resolution outcome. Fail: Escrowed funds are released or refunded automatically while a dispute is open.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Provides a fair, auditable conflict-resolution path when the two primary parties ca</w:t>
            </w:r>
            <w:r w:rsidRPr="00841C46">
              <w:rPr>
                <w:sz w:val="18"/>
                <w:szCs w:val="18"/>
              </w:rPr>
              <w:t>nnot agree, increasing platform trust.</w:t>
            </w:r>
          </w:p>
        </w:tc>
      </w:tr>
      <w:tr w:rsidR="00B93C43" w:rsidRPr="00841C46" w:rsidTr="00841C46">
        <w:tblPrEx>
          <w:tblCellMar>
            <w:top w:w="0" w:type="dxa"/>
            <w:bottom w:w="0" w:type="dxa"/>
          </w:tblCellMar>
        </w:tblPrEx>
        <w:trPr>
          <w:trHeight w:val="1111"/>
        </w:trPr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NFR-001</w:t>
            </w:r>
          </w:p>
        </w:tc>
        <w:tc>
          <w:tcPr>
            <w:tcW w:w="1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Nonfunctional (Performance &amp; Security)</w:t>
            </w:r>
          </w:p>
        </w:tc>
        <w:tc>
          <w:tcPr>
            <w:tcW w:w="4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Uploaded media drafts must complete automated watermarking in under 5 seconds for video/image previews.</w:t>
            </w:r>
          </w:p>
        </w:tc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High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Pass: Benchmarking tests confirm target latency and security standards under simulated peak load. Fail: Watermarking exceeds 5 seconds for any sampled asset under peak load.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 xml:space="preserve">Keeps the review workflow responsive so sponsors are not kept waiting, supporting </w:t>
            </w:r>
            <w:r w:rsidRPr="00841C46">
              <w:rPr>
                <w:sz w:val="18"/>
                <w:szCs w:val="18"/>
              </w:rPr>
              <w:t>smooth collaboration during peak submission periods.</w:t>
            </w:r>
          </w:p>
        </w:tc>
      </w:tr>
      <w:tr w:rsidR="00B93C43" w:rsidRPr="00841C46" w:rsidTr="00841C46">
        <w:tblPrEx>
          <w:tblCellMar>
            <w:top w:w="0" w:type="dxa"/>
            <w:bottom w:w="0" w:type="dxa"/>
          </w:tblCellMar>
        </w:tblPrEx>
        <w:trPr>
          <w:trHeight w:val="457"/>
        </w:trPr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NFR-002</w:t>
            </w:r>
          </w:p>
        </w:tc>
        <w:tc>
          <w:tcPr>
            <w:tcW w:w="1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Nonfunctional (Security)</w:t>
            </w:r>
          </w:p>
        </w:tc>
        <w:tc>
          <w:tcPr>
            <w:tcW w:w="4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All escrowed funds shall be held in an encrypted, PCI-DSS-aligned digital wallet, and every fund-movement transaction (lock, release, refund) shall be written to an immutable audit log with timestamp and actor ID.</w:t>
            </w:r>
          </w:p>
        </w:tc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High</w:t>
            </w:r>
          </w:p>
        </w:tc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Pass: A security audit confirms walle</w:t>
            </w:r>
            <w:r w:rsidRPr="00841C46">
              <w:rPr>
                <w:sz w:val="18"/>
                <w:szCs w:val="18"/>
              </w:rPr>
              <w:t>t data is encrypted at rest and in transit, and 100% of fund-movement events appear in the audit log with correct timestamp and actor. Fail: Any fund transaction lacks a corresponding audit record, or wallet data is found unencrypted.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93C43" w:rsidRPr="00841C46" w:rsidRDefault="00841C46" w:rsidP="00841C46">
            <w:pPr>
              <w:spacing w:after="80"/>
              <w:rPr>
                <w:sz w:val="18"/>
                <w:szCs w:val="18"/>
              </w:rPr>
            </w:pPr>
            <w:r w:rsidRPr="00841C46">
              <w:rPr>
                <w:sz w:val="18"/>
                <w:szCs w:val="18"/>
              </w:rPr>
              <w:t>Escrowed money is the</w:t>
            </w:r>
            <w:r w:rsidRPr="00841C46">
              <w:rPr>
                <w:sz w:val="18"/>
                <w:szCs w:val="18"/>
              </w:rPr>
              <w:t xml:space="preserve"> platform's core trust mechanism; encryption and immutable logging protect against fraud/tampering and support dispute resolution and compliance.</w:t>
            </w:r>
          </w:p>
        </w:tc>
      </w:tr>
    </w:tbl>
    <w:p w:rsidR="00B93C43" w:rsidRPr="00841C46" w:rsidRDefault="00B93C43" w:rsidP="00841C46">
      <w:pPr>
        <w:spacing w:before="240"/>
      </w:pPr>
    </w:p>
    <w:sectPr w:rsidR="00B93C43" w:rsidRPr="00841C46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8E5422"/>
    <w:multiLevelType w:val="hybridMultilevel"/>
    <w:tmpl w:val="E034E680"/>
    <w:lvl w:ilvl="0" w:tplc="7222154C">
      <w:start w:val="1"/>
      <w:numFmt w:val="bullet"/>
      <w:lvlText w:val="●"/>
      <w:lvlJc w:val="left"/>
      <w:pPr>
        <w:ind w:left="720" w:hanging="360"/>
      </w:pPr>
    </w:lvl>
    <w:lvl w:ilvl="1" w:tplc="7DFCCBD4">
      <w:start w:val="1"/>
      <w:numFmt w:val="bullet"/>
      <w:lvlText w:val="○"/>
      <w:lvlJc w:val="left"/>
      <w:pPr>
        <w:ind w:left="1440" w:hanging="360"/>
      </w:pPr>
    </w:lvl>
    <w:lvl w:ilvl="2" w:tplc="1FD8243E">
      <w:start w:val="1"/>
      <w:numFmt w:val="bullet"/>
      <w:lvlText w:val="■"/>
      <w:lvlJc w:val="left"/>
      <w:pPr>
        <w:ind w:left="2160" w:hanging="360"/>
      </w:pPr>
    </w:lvl>
    <w:lvl w:ilvl="3" w:tplc="E752D142">
      <w:start w:val="1"/>
      <w:numFmt w:val="bullet"/>
      <w:lvlText w:val="●"/>
      <w:lvlJc w:val="left"/>
      <w:pPr>
        <w:ind w:left="2880" w:hanging="360"/>
      </w:pPr>
    </w:lvl>
    <w:lvl w:ilvl="4" w:tplc="8F3693E2">
      <w:start w:val="1"/>
      <w:numFmt w:val="bullet"/>
      <w:lvlText w:val="○"/>
      <w:lvlJc w:val="left"/>
      <w:pPr>
        <w:ind w:left="3600" w:hanging="360"/>
      </w:pPr>
    </w:lvl>
    <w:lvl w:ilvl="5" w:tplc="C9BA677C">
      <w:start w:val="1"/>
      <w:numFmt w:val="bullet"/>
      <w:lvlText w:val="■"/>
      <w:lvlJc w:val="left"/>
      <w:pPr>
        <w:ind w:left="4320" w:hanging="360"/>
      </w:pPr>
    </w:lvl>
    <w:lvl w:ilvl="6" w:tplc="554A7EA2">
      <w:start w:val="1"/>
      <w:numFmt w:val="bullet"/>
      <w:lvlText w:val="●"/>
      <w:lvlJc w:val="left"/>
      <w:pPr>
        <w:ind w:left="5040" w:hanging="360"/>
      </w:pPr>
    </w:lvl>
    <w:lvl w:ilvl="7" w:tplc="A1688EF4">
      <w:start w:val="1"/>
      <w:numFmt w:val="bullet"/>
      <w:lvlText w:val="●"/>
      <w:lvlJc w:val="left"/>
      <w:pPr>
        <w:ind w:left="5760" w:hanging="360"/>
      </w:pPr>
    </w:lvl>
    <w:lvl w:ilvl="8" w:tplc="9684EE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C43"/>
    <w:rsid w:val="00841C46"/>
    <w:rsid w:val="00B9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12A714-84CF-4717-A151-51A99F3F7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Rohit</cp:lastModifiedBy>
  <cp:revision>2</cp:revision>
  <dcterms:created xsi:type="dcterms:W3CDTF">2026-08-25T06:00:00Z</dcterms:created>
  <dcterms:modified xsi:type="dcterms:W3CDTF">2026-08-25T08:01:00Z</dcterms:modified>
</cp:coreProperties>
</file>