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93C43" w:rsidRPr="00841C46" w:rsidRDefault="00841C46" w:rsidP="00841C46">
      <w:pPr>
        <w:pStyle w:val="Heading1"/>
        <w:jc w:val="center"/>
        <w:rPr>
          <w:b/>
          <w:bCs/>
          <w:color w:val="000000" w:themeColor="text1"/>
          <w:u w:val="single"/>
        </w:rPr>
      </w:pPr>
      <w:r w:rsidRPr="00841C46">
        <w:rPr>
          <w:b/>
          <w:bCs/>
          <w:color w:val="000000" w:themeColor="text1"/>
          <w:u w:val="single"/>
        </w:rPr>
        <w:t>Requirements Table — Freelance Content Creator Escrow Platform</w:t>
      </w:r>
    </w:p>
    <w:p w:rsidR="00841C46" w:rsidRPr="00841C46" w:rsidRDefault="00841C46" w:rsidP="00841C46">
      <w:pPr>
        <w:pStyle w:val="Heading1"/>
        <w:jc w:val="center"/>
        <w:rPr>
          <w:color w:val="000000" w:themeColor="text1"/>
          <w:u w:val="single"/>
        </w:rPr>
      </w:pPr>
    </w:p>
    <w:tbl>
      <w:tblPr>
        <w:tblpPr w:leftFromText="180" w:rightFromText="180" w:vertAnchor="text" w:tblpY="1"/>
        <w:tblOverlap w:val="never"/>
        <w:tblW w:w="14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65"/>
        <w:gridCol w:w="2691"/>
        <w:gridCol w:w="3421"/>
        <w:gridCol w:w="2400"/>
        <w:gridCol w:w="2788"/>
        <w:gridCol w:w="2235"/>
      </w:tblGrid>
      <w:tr w:rsidR="00B93C43" w:rsidRPr="00841C46" w:rsidTr="00841C46">
        <w:trPr>
          <w:tblHeader/>
        </w:trPr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rPr>
                <w:color w:val="000000" w:themeColor="text1"/>
                <w:sz w:val="18"/>
                <w:szCs w:val="18"/>
              </w:rPr>
            </w:pPr>
            <w:proofErr w:type="spellStart"/>
            <w:r w:rsidRPr="00841C46">
              <w:rPr>
                <w:b/>
                <w:bCs/>
                <w:color w:val="000000" w:themeColor="text1"/>
                <w:sz w:val="18"/>
                <w:szCs w:val="18"/>
              </w:rPr>
              <w:t>Req</w:t>
            </w:r>
            <w:proofErr w:type="spellEnd"/>
            <w:r w:rsidRPr="00841C46">
              <w:rPr>
                <w:b/>
                <w:bCs/>
                <w:color w:val="000000" w:themeColor="text1"/>
                <w:sz w:val="18"/>
                <w:szCs w:val="18"/>
              </w:rPr>
              <w:t xml:space="preserve"> ID</w:t>
            </w:r>
          </w:p>
        </w:tc>
        <w:tc>
          <w:tcPr>
            <w:tcW w:w="1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rPr>
                <w:color w:val="000000" w:themeColor="text1"/>
                <w:sz w:val="18"/>
                <w:szCs w:val="18"/>
              </w:rPr>
            </w:pPr>
            <w:r w:rsidRPr="00841C46">
              <w:rPr>
                <w:b/>
                <w:bCs/>
                <w:color w:val="000000" w:themeColor="text1"/>
                <w:sz w:val="18"/>
                <w:szCs w:val="18"/>
              </w:rPr>
              <w:t>Type</w:t>
            </w:r>
            <w:r w:rsidR="005D3F12" w:rsidRPr="005D3F12">
              <w:rPr>
                <w:b/>
                <w:bCs/>
                <w:color w:val="000000" w:themeColor="text1"/>
                <w:sz w:val="18"/>
                <w:szCs w:val="18"/>
              </w:rPr>
              <w:t>(Functional/Nonfunctional)</w:t>
            </w:r>
          </w:p>
        </w:tc>
        <w:tc>
          <w:tcPr>
            <w:tcW w:w="4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rPr>
                <w:color w:val="000000" w:themeColor="text1"/>
                <w:sz w:val="18"/>
                <w:szCs w:val="18"/>
              </w:rPr>
            </w:pPr>
            <w:r w:rsidRPr="00841C46">
              <w:rPr>
                <w:b/>
                <w:bCs/>
                <w:color w:val="000000" w:themeColor="text1"/>
                <w:sz w:val="18"/>
                <w:szCs w:val="18"/>
              </w:rPr>
              <w:t>Description</w:t>
            </w:r>
            <w:r w:rsidR="005D3F12">
              <w:rPr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r w:rsidR="005D3F12" w:rsidRPr="005D3F12">
              <w:rPr>
                <w:b/>
                <w:bCs/>
                <w:color w:val="000000" w:themeColor="text1"/>
                <w:sz w:val="18"/>
                <w:szCs w:val="18"/>
              </w:rPr>
              <w:t>(“The system shall...”)</w:t>
            </w:r>
          </w:p>
        </w:tc>
        <w:tc>
          <w:tcPr>
            <w:tcW w:w="1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rPr>
                <w:color w:val="000000" w:themeColor="text1"/>
                <w:sz w:val="18"/>
                <w:szCs w:val="18"/>
              </w:rPr>
            </w:pPr>
            <w:r w:rsidRPr="00841C46">
              <w:rPr>
                <w:b/>
                <w:bCs/>
                <w:color w:val="000000" w:themeColor="text1"/>
                <w:sz w:val="18"/>
                <w:szCs w:val="18"/>
              </w:rPr>
              <w:t>Priority</w:t>
            </w:r>
            <w:r w:rsidR="005D3F12" w:rsidRPr="005D3F12">
              <w:rPr>
                <w:b/>
                <w:bCs/>
                <w:color w:val="000000" w:themeColor="text1"/>
                <w:sz w:val="18"/>
                <w:szCs w:val="18"/>
              </w:rPr>
              <w:t>(High/Medium/Low)</w:t>
            </w:r>
          </w:p>
        </w:tc>
        <w:tc>
          <w:tcPr>
            <w:tcW w:w="3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5D3F12">
            <w:pPr>
              <w:rPr>
                <w:color w:val="000000" w:themeColor="text1"/>
                <w:sz w:val="18"/>
                <w:szCs w:val="18"/>
              </w:rPr>
            </w:pPr>
            <w:r w:rsidRPr="00841C46">
              <w:rPr>
                <w:b/>
                <w:bCs/>
                <w:color w:val="000000" w:themeColor="text1"/>
                <w:sz w:val="18"/>
                <w:szCs w:val="18"/>
              </w:rPr>
              <w:t>Acceptance Criteria</w:t>
            </w:r>
            <w:r w:rsidR="005D3F12">
              <w:rPr>
                <w:b/>
                <w:bCs/>
                <w:color w:val="000000" w:themeColor="text1"/>
                <w:sz w:val="18"/>
                <w:szCs w:val="18"/>
              </w:rPr>
              <w:t xml:space="preserve"> (</w:t>
            </w:r>
            <w:r w:rsidR="005D3F12" w:rsidRPr="005D3F12">
              <w:rPr>
                <w:b/>
                <w:bCs/>
                <w:color w:val="000000" w:themeColor="text1"/>
                <w:sz w:val="18"/>
                <w:szCs w:val="18"/>
              </w:rPr>
              <w:t>pass/fail)</w:t>
            </w:r>
          </w:p>
        </w:tc>
        <w:tc>
          <w:tcPr>
            <w:tcW w:w="27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rPr>
                <w:color w:val="000000" w:themeColor="text1"/>
                <w:sz w:val="18"/>
                <w:szCs w:val="18"/>
              </w:rPr>
            </w:pPr>
            <w:r w:rsidRPr="00841C46">
              <w:rPr>
                <w:b/>
                <w:bCs/>
                <w:color w:val="000000" w:themeColor="text1"/>
                <w:sz w:val="18"/>
                <w:szCs w:val="18"/>
              </w:rPr>
              <w:t>Rationale</w:t>
            </w:r>
          </w:p>
        </w:tc>
      </w:tr>
      <w:tr w:rsidR="00B93C43" w:rsidRPr="00841C46" w:rsidTr="00841C46"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FR-001</w:t>
            </w:r>
          </w:p>
        </w:tc>
        <w:tc>
          <w:tcPr>
            <w:tcW w:w="1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Functional</w:t>
            </w:r>
          </w:p>
        </w:tc>
        <w:tc>
          <w:tcPr>
            <w:tcW w:w="4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The system shall allow creators to submit draft media deliverables for client review and release locked milestone payments upon sponsor approval sign-off.</w:t>
            </w:r>
          </w:p>
        </w:tc>
        <w:tc>
          <w:tcPr>
            <w:tcW w:w="1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High</w:t>
            </w:r>
          </w:p>
        </w:tc>
        <w:tc>
          <w:tcPr>
            <w:tcW w:w="3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3F12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 xml:space="preserve">Pass: Milestone marked completed and funds credited to creator balance. </w:t>
            </w:r>
          </w:p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Fail: Funds released without client sign-off.</w:t>
            </w:r>
          </w:p>
        </w:tc>
        <w:tc>
          <w:tcPr>
            <w:tcW w:w="27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Core value proposition — ties fund release strictly to verified deliverable approval, protecting both creator and sponsor.</w:t>
            </w:r>
          </w:p>
        </w:tc>
      </w:tr>
      <w:tr w:rsidR="00B93C43" w:rsidRPr="00841C46" w:rsidTr="00841C46"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FR-002</w:t>
            </w:r>
          </w:p>
        </w:tc>
        <w:tc>
          <w:tcPr>
            <w:tcW w:w="1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Functional</w:t>
            </w:r>
          </w:p>
        </w:tc>
        <w:tc>
          <w:tcPr>
            <w:tcW w:w="4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The system shall allow a content creator and client sponsor to jointly define a project contract consisting of one or more milestones, each with a deliverable description, due date, and escrow payment amount, before work begins.</w:t>
            </w:r>
          </w:p>
        </w:tc>
        <w:tc>
          <w:tcPr>
            <w:tcW w:w="1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High</w:t>
            </w:r>
          </w:p>
        </w:tc>
        <w:tc>
          <w:tcPr>
            <w:tcW w:w="3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3F12" w:rsidRDefault="00841C46" w:rsidP="005D3F12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Pass: A milestone cannot be set to “Active” until both parties have digitally confirmed its description, due date, and amount.</w:t>
            </w:r>
          </w:p>
          <w:p w:rsidR="00B93C43" w:rsidRPr="00841C46" w:rsidRDefault="00841C46" w:rsidP="005D3F12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Fail: A milestone becomes active with only one party's confirmation.</w:t>
            </w:r>
          </w:p>
        </w:tc>
        <w:tc>
          <w:tcPr>
            <w:tcW w:w="27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Establishes an unambiguous, mutually agreed scope and payment amount up front, preventing later disputes over deliverable expectations.</w:t>
            </w:r>
          </w:p>
        </w:tc>
      </w:tr>
      <w:tr w:rsidR="00B93C43" w:rsidRPr="00841C46" w:rsidTr="00841C46"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FR-003</w:t>
            </w:r>
          </w:p>
        </w:tc>
        <w:tc>
          <w:tcPr>
            <w:tcW w:w="1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Functional</w:t>
            </w:r>
          </w:p>
        </w:tc>
        <w:tc>
          <w:tcPr>
            <w:tcW w:w="4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The system shall automatically apply a visible watermark to every draft image or video asset uploaded by the creator before it becomes visible to the sponsor for review.</w:t>
            </w:r>
          </w:p>
        </w:tc>
        <w:tc>
          <w:tcPr>
            <w:tcW w:w="1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High</w:t>
            </w:r>
          </w:p>
        </w:tc>
        <w:tc>
          <w:tcPr>
            <w:tcW w:w="3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3F12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Pass: 100% of sampled sponsor-visible draft previews</w:t>
            </w:r>
            <w:r w:rsidR="005D3F12">
              <w:rPr>
                <w:sz w:val="18"/>
                <w:szCs w:val="18"/>
              </w:rPr>
              <w:t xml:space="preserve"> display the watermark overlay.</w:t>
            </w:r>
          </w:p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Fail: Any sponsor-visible draft is missing the watermark.</w:t>
            </w:r>
          </w:p>
        </w:tc>
        <w:tc>
          <w:tcPr>
            <w:tcW w:w="27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Prevents unauthorized use or redistribution of unpaid draft work, protecting the creator's intellectual property during review.</w:t>
            </w:r>
          </w:p>
        </w:tc>
      </w:tr>
      <w:tr w:rsidR="00B93C43" w:rsidRPr="00841C46" w:rsidTr="00841C46"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FR-004</w:t>
            </w:r>
          </w:p>
        </w:tc>
        <w:tc>
          <w:tcPr>
            <w:tcW w:w="1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Functional</w:t>
            </w:r>
          </w:p>
        </w:tc>
        <w:tc>
          <w:tcPr>
            <w:tcW w:w="4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The system shall allow the client sponsor to reject a submitted draft with written revision comments, reverting the milestone to a “Pending Revision” state and notifying the creator to resubmit.</w:t>
            </w:r>
          </w:p>
        </w:tc>
        <w:tc>
          <w:tcPr>
            <w:tcW w:w="1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Medium</w:t>
            </w:r>
          </w:p>
        </w:tc>
        <w:tc>
          <w:tcPr>
            <w:tcW w:w="3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3F12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 xml:space="preserve">Pass: Rejected milestone's funds remain locked in escrow and status changes to “Pending Revision” with the </w:t>
            </w:r>
            <w:r w:rsidR="005D3F12">
              <w:rPr>
                <w:sz w:val="18"/>
                <w:szCs w:val="18"/>
              </w:rPr>
              <w:t>comment visible to the creator.</w:t>
            </w:r>
          </w:p>
          <w:p w:rsidR="00B93C43" w:rsidRPr="00841C46" w:rsidRDefault="005D3F12" w:rsidP="00841C46">
            <w:pPr>
              <w:spacing w:after="8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</w:t>
            </w:r>
            <w:r w:rsidR="00841C46" w:rsidRPr="00841C46">
              <w:rPr>
                <w:sz w:val="18"/>
                <w:szCs w:val="18"/>
              </w:rPr>
              <w:t>Fail: Milestone auto-advances to “Completed” despite rejection, or comments are not delivered.</w:t>
            </w:r>
          </w:p>
        </w:tc>
        <w:tc>
          <w:tcPr>
            <w:tcW w:w="27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Gives sponsors a structured way to request changes without cancelling the contract or losing escrowed funds, supporting iteration.</w:t>
            </w:r>
          </w:p>
        </w:tc>
      </w:tr>
      <w:tr w:rsidR="00B93C43" w:rsidRPr="00841C46" w:rsidTr="00841C46"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FR-005</w:t>
            </w:r>
          </w:p>
        </w:tc>
        <w:tc>
          <w:tcPr>
            <w:tcW w:w="1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Functional</w:t>
            </w:r>
          </w:p>
        </w:tc>
        <w:tc>
          <w:tcPr>
            <w:tcW w:w="4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The system shall allow either the creator or the sponsor to raise a dispute on a milestone that has been rejected twice, routing it to a neutral escrow moderator for review and a binding resolution decision.</w:t>
            </w:r>
          </w:p>
        </w:tc>
        <w:tc>
          <w:tcPr>
            <w:tcW w:w="1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Medium</w:t>
            </w:r>
          </w:p>
        </w:tc>
        <w:tc>
          <w:tcPr>
            <w:tcW w:w="3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3F12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Pass: A disputed milestone is frozen (no payment release or auto-cancellation) until the moderator records a resolution ou</w:t>
            </w:r>
            <w:r w:rsidR="005D3F12">
              <w:rPr>
                <w:sz w:val="18"/>
                <w:szCs w:val="18"/>
              </w:rPr>
              <w:t>tcome.</w:t>
            </w:r>
          </w:p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Fail: Escrowed funds are released or refunded automatically while a dispute is open.</w:t>
            </w:r>
          </w:p>
        </w:tc>
        <w:tc>
          <w:tcPr>
            <w:tcW w:w="27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Provides a fair, auditable conflict-resolution path when the two primary parties cannot agree, increasing platform trust.</w:t>
            </w:r>
          </w:p>
        </w:tc>
      </w:tr>
      <w:tr w:rsidR="00B93C43" w:rsidRPr="00841C46" w:rsidTr="00841C46">
        <w:trPr>
          <w:trHeight w:val="1111"/>
        </w:trPr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NFR-001</w:t>
            </w:r>
          </w:p>
        </w:tc>
        <w:tc>
          <w:tcPr>
            <w:tcW w:w="1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Nonfunctional (Performance &amp; Security)</w:t>
            </w:r>
          </w:p>
        </w:tc>
        <w:tc>
          <w:tcPr>
            <w:tcW w:w="4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Uploaded media drafts must complete automated watermarking in under 5 seconds for video/image previews.</w:t>
            </w:r>
          </w:p>
        </w:tc>
        <w:tc>
          <w:tcPr>
            <w:tcW w:w="1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High</w:t>
            </w:r>
          </w:p>
        </w:tc>
        <w:tc>
          <w:tcPr>
            <w:tcW w:w="3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3F12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Pass: Benchmarking tests confirm target latency and security stand</w:t>
            </w:r>
            <w:r w:rsidR="005D3F12">
              <w:rPr>
                <w:sz w:val="18"/>
                <w:szCs w:val="18"/>
              </w:rPr>
              <w:t>ards under simulated peak load.</w:t>
            </w:r>
          </w:p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lastRenderedPageBreak/>
              <w:t>Fail: Watermarking exceeds 5 seconds for any sampled asset under peak load.</w:t>
            </w:r>
            <w:bookmarkStart w:id="0" w:name="_GoBack"/>
            <w:bookmarkEnd w:id="0"/>
          </w:p>
        </w:tc>
        <w:tc>
          <w:tcPr>
            <w:tcW w:w="27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lastRenderedPageBreak/>
              <w:t xml:space="preserve">Keeps the review workflow responsive so sponsors are not kept waiting, supporting smooth collaboration </w:t>
            </w:r>
            <w:r w:rsidRPr="00841C46">
              <w:rPr>
                <w:sz w:val="18"/>
                <w:szCs w:val="18"/>
              </w:rPr>
              <w:lastRenderedPageBreak/>
              <w:t>during peak submission periods.</w:t>
            </w:r>
          </w:p>
        </w:tc>
      </w:tr>
      <w:tr w:rsidR="00B93C43" w:rsidRPr="00841C46" w:rsidTr="00841C46">
        <w:trPr>
          <w:trHeight w:val="457"/>
        </w:trPr>
        <w:tc>
          <w:tcPr>
            <w:tcW w:w="10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lastRenderedPageBreak/>
              <w:t>NFR-002</w:t>
            </w:r>
          </w:p>
        </w:tc>
        <w:tc>
          <w:tcPr>
            <w:tcW w:w="14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Nonfunctional (Security)</w:t>
            </w:r>
          </w:p>
        </w:tc>
        <w:tc>
          <w:tcPr>
            <w:tcW w:w="4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All escrowed funds shall be held in an encrypted, PCI-DSS-aligned digital wallet, and every fund-movement transaction (lock, release, refund) shall be written to an immutable audit log with timestamp and actor ID.</w:t>
            </w:r>
          </w:p>
        </w:tc>
        <w:tc>
          <w:tcPr>
            <w:tcW w:w="11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High</w:t>
            </w:r>
          </w:p>
        </w:tc>
        <w:tc>
          <w:tcPr>
            <w:tcW w:w="36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5D3F12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Pass: A security audit confirms wallet data is encrypted at rest and in transit, and 100% of fund-movement events appear in the audit log wi</w:t>
            </w:r>
            <w:r w:rsidR="005D3F12">
              <w:rPr>
                <w:sz w:val="18"/>
                <w:szCs w:val="18"/>
              </w:rPr>
              <w:t>th correct timestamp and actor.</w:t>
            </w:r>
          </w:p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Fail: Any fund transaction lacks a corresponding audit record, or wallet data is found unencrypted.</w:t>
            </w:r>
          </w:p>
        </w:tc>
        <w:tc>
          <w:tcPr>
            <w:tcW w:w="27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:rsidR="00B93C43" w:rsidRPr="00841C46" w:rsidRDefault="00841C46" w:rsidP="00841C46">
            <w:pPr>
              <w:spacing w:after="80"/>
              <w:rPr>
                <w:sz w:val="18"/>
                <w:szCs w:val="18"/>
              </w:rPr>
            </w:pPr>
            <w:r w:rsidRPr="00841C46">
              <w:rPr>
                <w:sz w:val="18"/>
                <w:szCs w:val="18"/>
              </w:rPr>
              <w:t>Escrowed money is the platform's core trust mechanism; encryption and immutable logging protect against fraud/tampering and support dispute resolution and compliance.</w:t>
            </w:r>
          </w:p>
        </w:tc>
      </w:tr>
    </w:tbl>
    <w:p w:rsidR="00B93C43" w:rsidRPr="00841C46" w:rsidRDefault="00B93C43" w:rsidP="00841C46">
      <w:pPr>
        <w:spacing w:before="240"/>
      </w:pPr>
    </w:p>
    <w:sectPr w:rsidR="00B93C43" w:rsidRPr="00841C46">
      <w:pgSz w:w="15840" w:h="12240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88E5422"/>
    <w:multiLevelType w:val="hybridMultilevel"/>
    <w:tmpl w:val="E034E680"/>
    <w:lvl w:ilvl="0" w:tplc="7222154C">
      <w:start w:val="1"/>
      <w:numFmt w:val="bullet"/>
      <w:lvlText w:val="●"/>
      <w:lvlJc w:val="left"/>
      <w:pPr>
        <w:ind w:left="720" w:hanging="360"/>
      </w:pPr>
    </w:lvl>
    <w:lvl w:ilvl="1" w:tplc="7DFCCBD4">
      <w:start w:val="1"/>
      <w:numFmt w:val="bullet"/>
      <w:lvlText w:val="○"/>
      <w:lvlJc w:val="left"/>
      <w:pPr>
        <w:ind w:left="1440" w:hanging="360"/>
      </w:pPr>
    </w:lvl>
    <w:lvl w:ilvl="2" w:tplc="1FD8243E">
      <w:start w:val="1"/>
      <w:numFmt w:val="bullet"/>
      <w:lvlText w:val="■"/>
      <w:lvlJc w:val="left"/>
      <w:pPr>
        <w:ind w:left="2160" w:hanging="360"/>
      </w:pPr>
    </w:lvl>
    <w:lvl w:ilvl="3" w:tplc="E752D142">
      <w:start w:val="1"/>
      <w:numFmt w:val="bullet"/>
      <w:lvlText w:val="●"/>
      <w:lvlJc w:val="left"/>
      <w:pPr>
        <w:ind w:left="2880" w:hanging="360"/>
      </w:pPr>
    </w:lvl>
    <w:lvl w:ilvl="4" w:tplc="8F3693E2">
      <w:start w:val="1"/>
      <w:numFmt w:val="bullet"/>
      <w:lvlText w:val="○"/>
      <w:lvlJc w:val="left"/>
      <w:pPr>
        <w:ind w:left="3600" w:hanging="360"/>
      </w:pPr>
    </w:lvl>
    <w:lvl w:ilvl="5" w:tplc="C9BA677C">
      <w:start w:val="1"/>
      <w:numFmt w:val="bullet"/>
      <w:lvlText w:val="■"/>
      <w:lvlJc w:val="left"/>
      <w:pPr>
        <w:ind w:left="4320" w:hanging="360"/>
      </w:pPr>
    </w:lvl>
    <w:lvl w:ilvl="6" w:tplc="554A7EA2">
      <w:start w:val="1"/>
      <w:numFmt w:val="bullet"/>
      <w:lvlText w:val="●"/>
      <w:lvlJc w:val="left"/>
      <w:pPr>
        <w:ind w:left="5040" w:hanging="360"/>
      </w:pPr>
    </w:lvl>
    <w:lvl w:ilvl="7" w:tplc="A1688EF4">
      <w:start w:val="1"/>
      <w:numFmt w:val="bullet"/>
      <w:lvlText w:val="●"/>
      <w:lvlJc w:val="left"/>
      <w:pPr>
        <w:ind w:left="5760" w:hanging="360"/>
      </w:pPr>
    </w:lvl>
    <w:lvl w:ilvl="8" w:tplc="9684EE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3C43"/>
    <w:rsid w:val="005D3F12"/>
    <w:rsid w:val="00841C46"/>
    <w:rsid w:val="00B93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812A714-84CF-4717-A151-51A99F3F78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595</Words>
  <Characters>3398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Rohit</cp:lastModifiedBy>
  <cp:revision>3</cp:revision>
  <dcterms:created xsi:type="dcterms:W3CDTF">2026-08-25T06:00:00Z</dcterms:created>
  <dcterms:modified xsi:type="dcterms:W3CDTF">2026-08-25T08:10:00Z</dcterms:modified>
</cp:coreProperties>
</file>