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CX Reply Assistant</w:t>
        <w:br/>
        <w:t>Scalable System Architecture</w:t>
      </w:r>
    </w:p>
    <w:p>
      <w:pPr>
        <w:jc w:val="center"/>
      </w:pPr>
      <w:r>
        <w:rPr>
          <w:i/>
        </w:rPr>
        <w:t>Datastraw Technologies — Technical Assessment | Part 2</w:t>
      </w:r>
    </w:p>
    <w:p>
      <w:pPr>
        <w:pStyle w:val="Heading1"/>
        <w:spacing w:before="80" w:after="60"/>
      </w:pPr>
      <w:r>
        <w:t>1. Current Application Architecture</w:t>
      </w:r>
    </w:p>
    <w:p>
      <w:pPr>
        <w:spacing w:after="80" w:line="252" w:lineRule="auto"/>
      </w:pPr>
      <w:r>
        <w:t>The submitted application is a Spring Boot service backed by MySQL. A browser-based agent UI communicates with REST controllers. Services handle conversation retrieval, policy retrieval, AI reply generation, and reply-draft lifecycle operations. Spring AI connects the application to an OpenAI-compatible Groq endpoint.</w:t>
      </w:r>
    </w:p>
    <w:p>
      <w:pPr>
        <w:pStyle w:val="ListBullet"/>
        <w:spacing w:after="40"/>
      </w:pPr>
      <w:r>
        <w:t>Conversation layer: customer, brand, order and message data are loaded for the support-agent view.</w:t>
      </w:r>
    </w:p>
    <w:p>
      <w:pPr>
        <w:pStyle w:val="ListBullet"/>
        <w:spacing w:after="40"/>
      </w:pPr>
      <w:r>
        <w:t>Knowledge layer: brand policies are stored and retrieved by policy category/relevance.</w:t>
      </w:r>
    </w:p>
    <w:p>
      <w:pPr>
        <w:pStyle w:val="ListBullet"/>
        <w:spacing w:after="40"/>
      </w:pPr>
      <w:r>
        <w:t>AI layer: retrieved policy context, customer/order details and conversation history are assembled into the model prompt.</w:t>
      </w:r>
    </w:p>
    <w:p>
      <w:pPr>
        <w:pStyle w:val="ListBullet"/>
        <w:spacing w:after="40"/>
      </w:pPr>
      <w:r>
        <w:t>Human-in-the-loop layer: the agent can generate, edit, regenerate and approve a reply; the application does not automatically send the response.</w:t>
      </w:r>
    </w:p>
    <w:p>
      <w:pPr>
        <w:pStyle w:val="ListBullet"/>
        <w:spacing w:after="40"/>
      </w:pPr>
      <w:r>
        <w:t>Persistence layer: MySQL stores the domain entities and reply-draft history.</w:t>
      </w:r>
    </w:p>
    <w:p>
      <w:pPr>
        <w:pStyle w:val="Heading1"/>
        <w:spacing w:before="80" w:after="60"/>
      </w:pPr>
      <w:r>
        <w:t>2. Target Architecture</w:t>
      </w:r>
    </w:p>
    <w:p>
      <w:pPr>
        <w:spacing w:after="80" w:line="252" w:lineRule="auto"/>
      </w:pPr>
      <w:r>
        <w:t>At scale, I would keep the agent experience simple while separating synchronous APIs from asynchronous message processing. The following target design supports approximately 500 brands, 5,000 agents, millions of messages and multiple communication channels.</w:t>
      </w:r>
    </w:p>
    <w:p>
      <w:pPr>
        <w:jc w:val="center"/>
      </w:pPr>
      <w:r>
        <w:rPr>
          <w:rFonts w:ascii="Consolas" w:hAnsi="Consolas"/>
          <w:sz w:val="14"/>
        </w:rPr>
        <w:t>┌──────────────────┐      ┌──────────────────┐      ┌──────────────────────┐</w:t>
        <w:br/>
        <w:t>│ Agent Web UI     │ ───&gt; │ API Gateway/Auth │ ───&gt; │ CX Backend Services  │</w:t>
        <w:br/>
        <w:t>│ React            │      │ RBAC + rate limit│      │ Conversation / Reply │</w:t>
        <w:br/>
        <w:t>└──────────────────┘      └──────────────────┘      └──────────┬───────────┘</w:t>
        <w:br/>
        <w:t xml:space="preserve">                                                               │</w:t>
        <w:br/>
        <w:t xml:space="preserve">             ┌───────────────────────────────┬─────────────────┼─────────────────┐</w:t>
        <w:br/>
        <w:t xml:space="preserve">             ▼                               ▼                 ▼                 ▼</w:t>
        <w:br/>
        <w:t xml:space="preserve">     ┌───────────────┐              ┌───────────────┐   ┌──────────────┐  ┌─────────────┐</w:t>
        <w:br/>
        <w:t xml:space="preserve">     │ PostgreSQL    │              │ Queue/Workers │   │ RAG/Qdrant   │  │ AI Gateway  │</w:t>
        <w:br/>
        <w:t xml:space="preserve">     │ Tenant data   │              │ retries + DLQ │   │ brand filter │  │ model route │</w:t>
        <w:br/>
        <w:t xml:space="preserve">     └───────────────┘              └───────────────┘   └──────┬───────┘  └──────┬──────┘</w:t>
        <w:br/>
        <w:t xml:space="preserve">                                                               │                   │</w:t>
        <w:br/>
        <w:t xml:space="preserve">                                                               └─────────┬─────────┘</w:t>
        <w:br/>
        <w:t xml:space="preserve">                                                                         ▼</w:t>
        <w:br/>
        <w:t xml:space="preserve">                                                            ┌─────────────────────┐</w:t>
        <w:br/>
        <w:t xml:space="preserve">                                                            │ LLM Providers       │</w:t>
        <w:br/>
        <w:t xml:space="preserve">                                                            │ Primary + fallback  │</w:t>
        <w:br/>
        <w:t xml:space="preserve">                                                            └─────────────────────┘</w:t>
        <w:br/>
        <w:br/>
        <w:t xml:space="preserve"> External channels (WhatsApp / Email / Webhooks) → idempotent ingestion → Queue → Workers</w:t>
      </w:r>
    </w:p>
    <w:p>
      <w:pPr>
        <w:spacing w:after="80" w:line="252" w:lineRule="auto"/>
      </w:pPr>
      <w:r>
        <w:t>The critical security boundary is tenant/brand context. It is established from authenticated identity and membership, propagated through backend services, and enforced again in database queries and vector retrieval.</w:t>
      </w:r>
    </w:p>
    <w:p>
      <w:r>
        <w:br w:type="page"/>
      </w:r>
    </w:p>
    <w:p>
      <w:pPr>
        <w:pStyle w:val="Heading1"/>
        <w:spacing w:before="80" w:after="60"/>
      </w:pPr>
      <w:r>
        <w:t>3. Frontend, APIs and Database</w:t>
      </w:r>
    </w:p>
    <w:p>
      <w:pPr>
        <w:spacing w:after="80" w:line="252" w:lineRule="auto"/>
      </w:pPr>
      <w:r>
        <w:t>Frontend: A React-based agent console would provide conversation views, customer/order context, generated drafts, editing, regeneration and approval. The frontend never decides which brand data is accessible; authorization is server-side.</w:t>
      </w:r>
    </w:p>
    <w:p>
      <w:pPr>
        <w:spacing w:after="80" w:line="252" w:lineRule="auto"/>
      </w:pPr>
      <w:r>
        <w:t>APIs/backend: REST APIs sit behind an API gateway. Authentication establishes identity, role and brand/tenant membership. Separate backend modules handle conversations, policies/knowledge, replies and channel ingestion. Request validation, rate limits and audit logging belong at the API boundary.</w:t>
      </w:r>
    </w:p>
    <w:p>
      <w:pPr>
        <w:spacing w:after="80" w:line="252" w:lineRule="auto"/>
      </w:pPr>
      <w:r>
        <w:t>Database: PostgreSQL would be the primary relational store at scale. Core tables would include tenants/brands, users/agents, customers, orders, conversations, messages, policies and reply drafts. Indexes should target tenant_id/brand_id, conversation_id and timestamps. Large message/history tables can be partitioned or archived as volume grows.</w:t>
      </w:r>
    </w:p>
    <w:p>
      <w:pPr>
        <w:pStyle w:val="Heading1"/>
        <w:spacing w:before="80" w:after="60"/>
      </w:pPr>
      <w:r>
        <w:t>4. Multi-Brand Data Isolation</w:t>
      </w:r>
    </w:p>
    <w:p>
      <w:pPr>
        <w:spacing w:after="80" w:line="252" w:lineRule="auto"/>
      </w:pPr>
      <w:r>
        <w:t>Brand isolation is a security boundary, not only an application convention. Every authenticated request receives tenant/brand context from the server-side identity and membership record. The backend rejects requests outside that context.</w:t>
      </w:r>
    </w:p>
    <w:p>
      <w:pPr>
        <w:pStyle w:val="ListBullet"/>
        <w:spacing w:after="40"/>
      </w:pPr>
      <w:r>
        <w:t>Database: every tenant-owned row carries tenant_id/brand_id and queries always scope by it. PostgreSQL row-level security can provide a second enforcement layer.</w:t>
      </w:r>
    </w:p>
    <w:p>
      <w:pPr>
        <w:pStyle w:val="ListBullet"/>
        <w:spacing w:after="40"/>
      </w:pPr>
      <w:r>
        <w:t>Knowledge retrieval: vector searches always include a mandatory brand/tenant metadata filter before similarity results are returned.</w:t>
      </w:r>
    </w:p>
    <w:p>
      <w:pPr>
        <w:pStyle w:val="ListBullet"/>
        <w:spacing w:after="40"/>
      </w:pPr>
      <w:r>
        <w:t>Authorization: an agent can access only brands explicitly assigned to that identity or role.</w:t>
      </w:r>
    </w:p>
    <w:p>
      <w:pPr>
        <w:pStyle w:val="ListBullet"/>
        <w:spacing w:after="40"/>
      </w:pPr>
      <w:r>
        <w:t>Caching: cache keys include tenant/brand identifiers so cached context cannot cross brands.</w:t>
      </w:r>
    </w:p>
    <w:p>
      <w:pPr>
        <w:pStyle w:val="ListBullet"/>
        <w:spacing w:after="40"/>
      </w:pPr>
      <w:r>
        <w:t>Audit: access and approval events record actor, tenant, resource and timestamp.</w:t>
      </w:r>
    </w:p>
    <w:p>
      <w:pPr>
        <w:pStyle w:val="Heading1"/>
        <w:spacing w:before="80" w:after="60"/>
      </w:pPr>
      <w:r>
        <w:t>5. External Integrations and Background Work</w:t>
      </w:r>
    </w:p>
    <w:p>
      <w:pPr>
        <w:spacing w:after="80" w:line="252" w:lineRule="auto"/>
      </w:pPr>
      <w:r>
        <w:t>Channel adapters normalize WhatsApp, email and other inbound sources into a common message model. Webhook requests should acknowledge quickly and place work on a queue. Workers then perform enrichment, knowledge retrieval and AI generation.</w:t>
      </w:r>
    </w:p>
    <w:p>
      <w:pPr>
        <w:pStyle w:val="ListBullet"/>
        <w:spacing w:after="40"/>
      </w:pPr>
      <w:r>
        <w:t>Queue workers handle retries, rate limits and long-running AI calls.</w:t>
      </w:r>
    </w:p>
    <w:p>
      <w:pPr>
        <w:pStyle w:val="ListBullet"/>
        <w:spacing w:after="40"/>
      </w:pPr>
      <w:r>
        <w:t>A dead-letter queue captures messages that repeatedly fail.</w:t>
      </w:r>
    </w:p>
    <w:p>
      <w:pPr>
        <w:pStyle w:val="ListBullet"/>
        <w:spacing w:after="40"/>
      </w:pPr>
      <w:r>
        <w:t>External API calls use timeouts and bounded retries with backoff.</w:t>
      </w:r>
    </w:p>
    <w:p>
      <w:pPr>
        <w:pStyle w:val="ListBullet"/>
        <w:spacing w:after="40"/>
      </w:pPr>
      <w:r>
        <w:t>Provider event/message IDs act as idempotency keys to prevent duplicate processing.</w:t>
      </w:r>
    </w:p>
    <w:p>
      <w:r>
        <w:br w:type="page"/>
      </w:r>
    </w:p>
    <w:p>
      <w:pPr>
        <w:pStyle w:val="Heading1"/>
        <w:spacing w:before="80" w:after="60"/>
      </w:pPr>
      <w:r>
        <w:t>6. AI Layer and Knowledge Retrieval</w:t>
      </w:r>
    </w:p>
    <w:p>
      <w:pPr>
        <w:spacing w:after="80" w:line="252" w:lineRule="auto"/>
      </w:pPr>
      <w:r>
        <w:t>The AI gateway abstracts model providers from the rest of the application. It can route requests to a primary and fallback model, enforce token budgets, record latency/cost metadata, and apply common prompt policies.</w:t>
      </w:r>
    </w:p>
    <w:p>
      <w:pPr>
        <w:spacing w:after="80" w:line="252" w:lineRule="auto"/>
      </w:pPr>
      <w:r>
        <w:t>Knowledge retrieval should use retrieval-augmented generation (RAG). Brand policy documents are chunked and embedded into a vector store such as Qdrant. Retrieval is first constrained by tenant/brand metadata and then ranked by semantic relevance. The model receives only selected policy context plus the minimum customer/order/conversation information needed.</w:t>
      </w:r>
    </w:p>
    <w:p>
      <w:pPr>
        <w:pStyle w:val="ListBullet"/>
        <w:spacing w:after="40"/>
      </w:pPr>
      <w:r>
        <w:t>Grounding: instruct the model to use supplied policy context and not invent refunds, replacements, discounts, delivery promises or other unsupported actions.</w:t>
      </w:r>
    </w:p>
    <w:p>
      <w:pPr>
        <w:pStyle w:val="ListBullet"/>
        <w:spacing w:after="40"/>
      </w:pPr>
      <w:r>
        <w:t>Fallback: when relevant policy context is missing or confidence is low, return a cautious clarification/escalation response instead of a confident unsupported answer.</w:t>
      </w:r>
    </w:p>
    <w:p>
      <w:pPr>
        <w:pStyle w:val="ListBullet"/>
        <w:spacing w:after="40"/>
      </w:pPr>
      <w:r>
        <w:t>Human review: AI output remains a draft until an agent reviews and approves it.</w:t>
      </w:r>
    </w:p>
    <w:p>
      <w:pPr>
        <w:pStyle w:val="ListBullet"/>
        <w:spacing w:after="40"/>
      </w:pPr>
      <w:r>
        <w:t>Evaluation: maintain tests for policy questions, out-of-policy requests, ambiguous requests and adversarial prompts; track correctness, groundedness, fallback rate and agent edits.</w:t>
      </w:r>
    </w:p>
    <w:p>
      <w:pPr>
        <w:pStyle w:val="Heading1"/>
        <w:spacing w:before="80" w:after="60"/>
      </w:pPr>
      <w:r>
        <w:t>7. Scalability — What Breaks First?</w:t>
      </w:r>
    </w:p>
    <w:p>
      <w:pPr>
        <w:spacing w:after="80" w:line="252" w:lineRule="auto"/>
      </w:pPr>
      <w:r>
        <w:t>At 500 brands and millions of messages, the first pressure points are likely to be database growth/query latency, AI throughput and cost, vector retrieval load, and synchronous processing of external events. Each concern should scale independently.</w:t>
      </w:r>
    </w:p>
    <w:p>
      <w:pPr>
        <w:pStyle w:val="ListBullet"/>
        <w:spacing w:after="40"/>
      </w:pPr>
      <w:r>
        <w:t>Database: add indexes, read replicas, partitioning and archival; keep large message histories out of hot transactional queries.</w:t>
      </w:r>
    </w:p>
    <w:p>
      <w:pPr>
        <w:pStyle w:val="ListBullet"/>
        <w:spacing w:after="40"/>
      </w:pPr>
      <w:r>
        <w:t>AI: queue requests, cap tokens, cache reusable results where safe, route simple cases to cheaper models, and monitor cost per conversation.</w:t>
      </w:r>
    </w:p>
    <w:p>
      <w:pPr>
        <w:pStyle w:val="ListBullet"/>
        <w:spacing w:after="40"/>
      </w:pPr>
      <w:r>
        <w:t>Retrieval: use tenant-filtered vector indexes and precomputed embeddings; avoid reprocessing unchanged documents.</w:t>
      </w:r>
    </w:p>
    <w:p>
      <w:pPr>
        <w:pStyle w:val="ListBullet"/>
        <w:spacing w:after="40"/>
      </w:pPr>
      <w:r>
        <w:t>Backend: keep APIs stateless and horizontally scalable behind a load balancer.</w:t>
      </w:r>
    </w:p>
    <w:p>
      <w:pPr>
        <w:pStyle w:val="ListBullet"/>
        <w:spacing w:after="40"/>
      </w:pPr>
      <w:r>
        <w:t>Workers: scale consumers independently based on queue depth and provider rate limits.</w:t>
      </w:r>
    </w:p>
    <w:p>
      <w:pPr>
        <w:pStyle w:val="Heading1"/>
        <w:spacing w:before="80" w:after="60"/>
      </w:pPr>
      <w:r>
        <w:t>8. Reliability Scenarios</w:t>
      </w:r>
    </w:p>
    <w:p>
      <w:pPr>
        <w:pStyle w:val="ListBullet"/>
        <w:spacing w:after="40"/>
      </w:pPr>
      <w:r>
        <w:t>Duplicate webhook: use the provider event/message ID as an idempotency key and ignore an already-processed event.</w:t>
      </w:r>
    </w:p>
    <w:p>
      <w:pPr>
        <w:pStyle w:val="ListBullet"/>
        <w:spacing w:after="40"/>
      </w:pPr>
      <w:r>
        <w:t>External API timeout: apply a timeout, bounded retry with exponential backoff, and move persistent failures to the DLQ.</w:t>
      </w:r>
    </w:p>
    <w:p>
      <w:pPr>
        <w:pStyle w:val="ListBullet"/>
        <w:spacing w:after="40"/>
      </w:pPr>
      <w:r>
        <w:t>AI request failure: retry transient failures; if the provider remains unavailable, return a fallback/escalation state rather than fabricate an answer.</w:t>
      </w:r>
    </w:p>
    <w:p>
      <w:pPr>
        <w:pStyle w:val="ListBullet"/>
        <w:spacing w:after="40"/>
      </w:pPr>
      <w:r>
        <w:t>Processed but response not sent: persist outbound message and delivery state separately so a retryable worker can resume without duplicating the response.</w:t>
      </w:r>
    </w:p>
    <w:p>
      <w:pPr>
        <w:pStyle w:val="ListBullet"/>
        <w:spacing w:after="40"/>
      </w:pPr>
      <w:r>
        <w:t>Observability: use structured logs, correlation IDs, queue-depth metrics, API latency/error rates, AI latency/token/cost metrics, retrieval quality and approval/edit rates.</w:t>
      </w:r>
    </w:p>
    <w:p>
      <w:pPr>
        <w:pStyle w:val="Heading1"/>
        <w:spacing w:before="80" w:after="60"/>
      </w:pPr>
      <w:r>
        <w:t>9. Key Engineering Trade-offs</w:t>
      </w:r>
    </w:p>
    <w:p>
      <w:pPr>
        <w:spacing w:after="80" w:line="252" w:lineRule="auto"/>
      </w:pPr>
      <w:r>
        <w:t>The assessment implementation favors simplicity and demonstrable end-to-end behavior. At scale, I would introduce a managed relational database, vector retrieval, queues, stronger tenant enforcement and provider abstraction only as traffic and reliability requirements justify them. This provides a clear scale path without prematurely introducing unnecessary distributed-system complexity.</w:t>
      </w:r>
    </w:p>
    <w:p>
      <w:pPr>
        <w:pStyle w:val="Heading1"/>
        <w:spacing w:before="80" w:after="60"/>
      </w:pPr>
      <w:r>
        <w:t>Assessment Alignment</w:t>
      </w:r>
    </w:p>
    <w:p>
      <w:pPr>
        <w:spacing w:after="80" w:line="252" w:lineRule="auto"/>
      </w:pPr>
      <w:r>
        <w:t>This design addresses the Part 2 requirements for frontend, APIs/backend, database, authentication, external integrations, AI, knowledge retrieval and background jobs. It also covers multi-brand isolation, AI reliability, scalability and failure handling.</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