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rFonts w:ascii="Calibri" w:hAnsi="Calibri"/>
          <w:b/>
          <w:color w:val="0B1F3A"/>
          <w:sz w:val="96"/>
        </w:rPr>
        <w:t>BTS</w:t>
      </w:r>
      <w:r>
        <w:rPr>
          <w:rFonts w:ascii="Calibri" w:hAnsi="Calibri"/>
          <w:b/>
          <w:color w:val="008C9E"/>
          <w:sz w:val="96"/>
        </w:rPr>
        <w:t>-SYNTHETIC</w:t>
      </w:r>
    </w:p>
    <w:p>
      <w:pPr>
        <w:spacing w:before="80"/>
        <w:pBdr>
          <w:bottom w:val="single" w:sz="12" w:space="1" w:color="00889E"/>
        </w:pBdr>
      </w:pPr>
      <w:r>
        <w:rPr>
          <w:rFonts w:ascii="Calibri" w:hAnsi="Calibri"/>
          <w:i/>
          <w:color w:val="3D4A5C"/>
          <w:sz w:val="28"/>
        </w:rPr>
        <w:t>Enterprise Data Platform</w:t>
      </w:r>
    </w:p>
    <w:p>
      <w:pPr>
        <w:spacing w:before="1200"/>
      </w:pPr>
      <w:r>
        <w:rPr>
          <w:rFonts w:ascii="Calibri" w:hAnsi="Calibri"/>
          <w:b/>
          <w:color w:val="0B1F3A"/>
          <w:sz w:val="56"/>
        </w:rPr>
        <w:t>Proposal Response</w:t>
      </w:r>
    </w:p>
    <w:p>
      <w:r>
        <w:rPr>
          <w:rFonts w:ascii="Calibri" w:hAnsi="Calibri"/>
          <w:color w:val="3D4A5C"/>
          <w:sz w:val="36"/>
        </w:rPr>
        <w:t>Acme Corp — Enterprise Data Platform RFP</w:t>
      </w:r>
    </w:p>
    <w:p>
      <w:pPr>
        <w:spacing w:before="1800"/>
      </w:pPr>
    </w:p>
    <w:p>
      <w:pPr>
        <w:spacing w:after="40"/>
      </w:pPr>
      <w:r>
        <w:rPr>
          <w:rFonts w:ascii="Calibri" w:hAnsi="Calibri"/>
          <w:b/>
          <w:color w:val="0B1F3A"/>
          <w:sz w:val="21"/>
        </w:rPr>
        <w:t xml:space="preserve">Prepared for:  </w:t>
      </w:r>
      <w:r>
        <w:rPr>
          <w:rFonts w:ascii="Calibri" w:hAnsi="Calibri"/>
          <w:color w:val="3D4A5C"/>
          <w:sz w:val="21"/>
        </w:rPr>
        <w:t>Sarah Chen, VP Procurement  ·  Marcus Webb, Chief Data Officer</w:t>
      </w:r>
    </w:p>
    <w:p>
      <w:pPr>
        <w:spacing w:after="40"/>
      </w:pPr>
      <w:r>
        <w:rPr>
          <w:rFonts w:ascii="Calibri" w:hAnsi="Calibri"/>
          <w:b/>
          <w:color w:val="0B1F3A"/>
          <w:sz w:val="21"/>
        </w:rPr>
        <w:t xml:space="preserve">Prepared by:  </w:t>
      </w:r>
      <w:r>
        <w:rPr>
          <w:rFonts w:ascii="Calibri" w:hAnsi="Calibri"/>
          <w:color w:val="3D4A5C"/>
          <w:sz w:val="21"/>
        </w:rPr>
        <w:t>BTS-Synthetic Deal Desk</w:t>
      </w:r>
    </w:p>
    <w:p>
      <w:pPr>
        <w:spacing w:after="40"/>
      </w:pPr>
      <w:r>
        <w:rPr>
          <w:rFonts w:ascii="Calibri" w:hAnsi="Calibri"/>
          <w:b/>
          <w:color w:val="0B1F3A"/>
          <w:sz w:val="21"/>
        </w:rPr>
        <w:t xml:space="preserve">RFP Reference:  </w:t>
      </w:r>
      <w:r>
        <w:rPr>
          <w:rFonts w:ascii="Calibri" w:hAnsi="Calibri"/>
          <w:color w:val="3D4A5C"/>
          <w:sz w:val="21"/>
        </w:rPr>
        <w:t>Acme Corp Enterprise Data Platform, Issued 2026-05-12</w:t>
      </w:r>
    </w:p>
    <w:p>
      <w:pPr>
        <w:spacing w:after="40"/>
      </w:pPr>
      <w:r>
        <w:rPr>
          <w:rFonts w:ascii="Calibri" w:hAnsi="Calibri"/>
          <w:b/>
          <w:color w:val="0B1F3A"/>
          <w:sz w:val="21"/>
        </w:rPr>
        <w:t xml:space="preserve">Response date:  </w:t>
      </w:r>
      <w:r>
        <w:rPr>
          <w:rFonts w:ascii="Calibri" w:hAnsi="Calibri"/>
          <w:color w:val="3D4A5C"/>
          <w:sz w:val="21"/>
        </w:rPr>
        <w:t>2026-05-22</w:t>
      </w:r>
    </w:p>
    <w:p>
      <w:pPr>
        <w:spacing w:after="40"/>
      </w:pPr>
      <w:r>
        <w:rPr>
          <w:rFonts w:ascii="Calibri" w:hAnsi="Calibri"/>
          <w:b/>
          <w:color w:val="0B1F3A"/>
          <w:sz w:val="21"/>
        </w:rPr>
        <w:t xml:space="preserve">Valid through:  </w:t>
      </w:r>
      <w:r>
        <w:rPr>
          <w:rFonts w:ascii="Calibri" w:hAnsi="Calibri"/>
          <w:color w:val="3D4A5C"/>
          <w:sz w:val="21"/>
        </w:rPr>
        <w:t>2026-07-31</w:t>
      </w:r>
    </w:p>
    <w:p>
      <w:pPr>
        <w:spacing w:after="40"/>
      </w:pPr>
      <w:r>
        <w:rPr>
          <w:rFonts w:ascii="Calibri" w:hAnsi="Calibri"/>
          <w:b/>
          <w:color w:val="0B1F3A"/>
          <w:sz w:val="21"/>
        </w:rPr>
        <w:t xml:space="preserve">Classification:  </w:t>
      </w:r>
      <w:r>
        <w:rPr>
          <w:rFonts w:ascii="Calibri" w:hAnsi="Calibri"/>
          <w:color w:val="3D4A5C"/>
          <w:sz w:val="21"/>
        </w:rPr>
        <w:t>Confidential — for addressee use only</w:t>
      </w:r>
    </w:p>
    <w:p>
      <w:r>
        <w:br w:type="page"/>
      </w:r>
    </w:p>
    <w:p>
      <w:pPr>
        <w:spacing w:before="280" w:after="120"/>
        <w:pBdr>
          <w:bottom w:val="single" w:sz="12" w:space="1" w:color="00889E"/>
        </w:pBdr>
      </w:pPr>
      <w:r>
        <w:rPr>
          <w:rFonts w:ascii="Calibri" w:hAnsi="Calibri"/>
          <w:b/>
          <w:color w:val="0B1F3A"/>
          <w:sz w:val="36"/>
        </w:rPr>
        <w:t>1.  Executive Summary</w:t>
      </w:r>
    </w:p>
    <w:p>
      <w:pPr>
        <w:spacing w:after="120" w:line="300" w:lineRule="auto"/>
      </w:pPr>
      <w:r>
        <w:rPr>
          <w:rFonts w:ascii="Calibri" w:hAnsi="Calibri"/>
          <w:b w:val="0"/>
          <w:i w:val="0"/>
          <w:color w:val="3D4A5C"/>
          <w:sz w:val="22"/>
        </w:rPr>
        <w:t>BTS-Synthetic is the right partner for Acme Corp's enterprise data platform. Our lakehouse is a technical match for Acme's workload profile, our Power BI DirectQuery integration is the most mature in the market, and our EU per-table residency is a native capability — not a workaround. We have won this exact shape of deal before, against this exact set of competitors.</w:t>
      </w:r>
    </w:p>
    <w:p>
      <w:pPr>
        <w:pStyle w:val="ListBullet"/>
        <w:spacing w:after="40" w:line="288" w:lineRule="auto"/>
        <w:ind w:left="340"/>
      </w:pPr>
      <w:r>
        <w:rPr>
          <w:rFonts w:ascii="Calibri" w:hAnsi="Calibri"/>
          <w:b/>
          <w:color w:val="0B1F3A"/>
          <w:sz w:val="21"/>
        </w:rPr>
        <w:t>Strong technical fit.</w:t>
      </w:r>
      <w:r>
        <w:rPr>
          <w:rFonts w:ascii="Calibri" w:hAnsi="Calibri"/>
          <w:color w:val="3D4A5C"/>
          <w:sz w:val="21"/>
        </w:rPr>
        <w:t xml:space="preserve"> Every non-negotiable capability — real-time IoT ingest at 3× peak headroom, native Power BI DirectQuery for 600 analysts, per-table EU residency, and lakehouse on open formats — is met by our shipping product. The only partial fit is the 99.99% SLA, addressed via an active-active multi-region configuration priced into this offer.</w:t>
      </w:r>
    </w:p>
    <w:p>
      <w:pPr>
        <w:pStyle w:val="ListBullet"/>
        <w:spacing w:after="40" w:line="288" w:lineRule="auto"/>
        <w:ind w:left="340"/>
      </w:pPr>
      <w:r>
        <w:rPr>
          <w:rFonts w:ascii="Calibri" w:hAnsi="Calibri"/>
          <w:b/>
          <w:color w:val="0B1F3A"/>
          <w:sz w:val="21"/>
        </w:rPr>
        <w:t>Priced to win, structured to last.</w:t>
      </w:r>
      <w:r>
        <w:rPr>
          <w:rFonts w:ascii="Calibri" w:hAnsi="Calibri"/>
          <w:color w:val="3D4A5C"/>
          <w:sz w:val="21"/>
        </w:rPr>
        <w:t xml:space="preserve"> Firm 5-year price at USD 1.09M/yr (25% off list, all-in including the 99.99% SLA tier). No annual escalators. Payment annual in advance, Net 60. Volume true-up buffer of 15% to accommodate 12 TB/month growth without overage surprise.</w:t>
      </w:r>
    </w:p>
    <w:p>
      <w:pPr>
        <w:pStyle w:val="ListBullet"/>
        <w:spacing w:after="40" w:line="288" w:lineRule="auto"/>
        <w:ind w:left="340"/>
      </w:pPr>
      <w:r>
        <w:rPr>
          <w:rFonts w:ascii="Calibri" w:hAnsi="Calibri"/>
          <w:b/>
          <w:color w:val="0B1F3A"/>
          <w:sz w:val="21"/>
        </w:rPr>
        <w:t>Clear contract path, honest on the hard clauses.</w:t>
      </w:r>
      <w:r>
        <w:rPr>
          <w:rFonts w:ascii="Calibri" w:hAnsi="Calibri"/>
          <w:color w:val="3D4A5C"/>
          <w:sz w:val="21"/>
        </w:rPr>
        <w:t xml:space="preserve"> We accept most of Acme's contractual framework as drafted or with minor adjustments. Three clauses — uncapped liability (§4.1), full IP vesting (§4.4), and sole-discretion subprocessor consent (§4.5) — require substantive counter-positions grounded in accepted precedent (Stark Industries, 2026). All three counters are set out in §5.</w:t>
      </w:r>
    </w:p>
    <w:tbl>
      <w:tblPr>
        <w:tblW w:type="auto" w:w="0"/>
        <w:jc w:val="center"/>
        <w:tblLayout w:type="fixed"/>
        <w:tblLook w:firstColumn="1" w:firstRow="1" w:lastColumn="0" w:lastRow="0" w:noHBand="0" w:noVBand="1" w:val="04A0"/>
      </w:tblPr>
      <w:tblGrid>
        <w:gridCol w:w="9746"/>
      </w:tblGrid>
      <w:tr>
        <w:tc>
          <w:tcPr>
            <w:tcW w:type="dxa" w:w="9071"/>
            <w:shd w:val="clear" w:color="auto" w:fill="E8EEF3"/>
            <w:tcBorders>
              <w:left w:val="single" w:sz="24" w:color="008C9E"/>
              <w:top w:val="single" w:sz="4" w:color="DFE5EC"/>
              <w:bottom w:val="single" w:sz="4" w:color="DFE5EC"/>
              <w:right w:val="single" w:sz="4" w:color="DFE5EC"/>
            </w:tcBorders>
          </w:tcPr>
          <w:p>
            <w:pPr>
              <w:spacing w:after="60"/>
            </w:pPr>
            <w:r/>
            <w:r>
              <w:rPr>
                <w:rFonts w:ascii="Calibri" w:hAnsi="Calibri"/>
                <w:b/>
                <w:color w:val="0B1F3A"/>
                <w:sz w:val="21"/>
              </w:rPr>
              <w:t>Headline commercial</w:t>
            </w:r>
          </w:p>
          <w:p>
            <w:pPr>
              <w:spacing w:after="40" w:line="300" w:lineRule="auto"/>
            </w:pPr>
            <w:r>
              <w:rPr>
                <w:rFonts w:ascii="Calibri" w:hAnsi="Calibri"/>
                <w:color w:val="3D4A5C"/>
                <w:sz w:val="20"/>
              </w:rPr>
              <w:t>USD 1.09M / year firm for 5 years  ·  25% off list  ·  99.99% SLA included  ·  Net 60 annual advance  ·  15% volume true-up  ·  Total 5-year commitment: USD 5.43M.</w:t>
            </w:r>
          </w:p>
        </w:tc>
      </w:tr>
    </w:tbl>
    <w:p/>
    <w:p>
      <w:pPr>
        <w:spacing w:before="280" w:after="120"/>
        <w:pBdr>
          <w:bottom w:val="single" w:sz="12" w:space="1" w:color="00889E"/>
        </w:pBdr>
      </w:pPr>
      <w:r>
        <w:rPr>
          <w:rFonts w:ascii="Calibri" w:hAnsi="Calibri"/>
          <w:b/>
          <w:color w:val="0B1F3A"/>
          <w:sz w:val="36"/>
        </w:rPr>
        <w:t>2.  Our Understanding of Acme's Need</w:t>
      </w:r>
    </w:p>
    <w:p>
      <w:pPr>
        <w:spacing w:after="120" w:line="300" w:lineRule="auto"/>
      </w:pPr>
      <w:r>
        <w:rPr>
          <w:rFonts w:ascii="Calibri" w:hAnsi="Calibri"/>
          <w:b w:val="0"/>
          <w:i w:val="0"/>
          <w:color w:val="3D4A5C"/>
          <w:sz w:val="21"/>
        </w:rPr>
        <w:t>Acme Corp is retiring a legacy Teradata estate and replacing a patchwork of ad-hoc cloud analytics with a single enterprise data platform through 2027. The platform must serve five distinct workload profiles at global scale, while satisfying strict EU data-residency obligations and preserving the 600-user Power BI investment already in production. We read this RFP as principally a workload-consolidation, migration and governance programme — not a greenfield analytics project.</w:t>
      </w:r>
    </w:p>
    <w:p>
      <w:pPr>
        <w:spacing w:before="280" w:after="120"/>
      </w:pPr>
      <w:r>
        <w:rPr>
          <w:rFonts w:ascii="Calibri" w:hAnsi="Calibri"/>
          <w:b/>
          <w:color w:val="008C9E"/>
          <w:sz w:val="23"/>
        </w:rPr>
        <w:t>The four things we believe matter most to Acme</w:t>
      </w:r>
    </w:p>
    <w:p>
      <w:pPr>
        <w:pStyle w:val="ListBullet"/>
        <w:spacing w:after="40" w:line="288" w:lineRule="auto"/>
        <w:ind w:left="340"/>
      </w:pPr>
      <w:r>
        <w:rPr>
          <w:rFonts w:ascii="Calibri" w:hAnsi="Calibri"/>
          <w:b/>
          <w:color w:val="0B1F3A"/>
          <w:sz w:val="21"/>
        </w:rPr>
        <w:t>Power BI continuity.</w:t>
      </w:r>
      <w:r>
        <w:rPr>
          <w:rFonts w:ascii="Calibri" w:hAnsi="Calibri"/>
          <w:color w:val="3D4A5C"/>
          <w:sz w:val="21"/>
        </w:rPr>
        <w:t xml:space="preserve"> 600 analysts and executives are in Power BI today. Any platform that forces retraining, connector rework, or performance regression against DirectQuery workloads is a non-starter. This is stated explicitly in §2.3 of the RFP.</w:t>
      </w:r>
    </w:p>
    <w:p>
      <w:pPr>
        <w:pStyle w:val="ListBullet"/>
        <w:spacing w:after="40" w:line="288" w:lineRule="auto"/>
        <w:ind w:left="340"/>
      </w:pPr>
      <w:r>
        <w:rPr>
          <w:rFonts w:ascii="Calibri" w:hAnsi="Calibri"/>
          <w:b/>
          <w:color w:val="0B1F3A"/>
          <w:sz w:val="21"/>
        </w:rPr>
        <w:t>Real-time ingest at industrial scale.</w:t>
      </w:r>
      <w:r>
        <w:rPr>
          <w:rFonts w:ascii="Calibri" w:hAnsi="Calibri"/>
          <w:color w:val="3D4A5C"/>
          <w:sz w:val="21"/>
        </w:rPr>
        <w:t xml:space="preserve"> 40,000 devices and 80,000 events/sec at peak is a production IoT profile, not a proof-of-concept. A platform that streams "fine on paper" but throttles on peak or degrades on multi-tenant load is a business risk to manufacturing operations in Mexico, Vietnam and Romania.</w:t>
      </w:r>
    </w:p>
    <w:p>
      <w:pPr>
        <w:pStyle w:val="ListBullet"/>
        <w:spacing w:after="40" w:line="288" w:lineRule="auto"/>
        <w:ind w:left="340"/>
      </w:pPr>
      <w:r>
        <w:rPr>
          <w:rFonts w:ascii="Calibri" w:hAnsi="Calibri"/>
          <w:b/>
          <w:color w:val="0B1F3A"/>
          <w:sz w:val="21"/>
        </w:rPr>
        <w:t>EU data residency without operational compromise.</w:t>
      </w:r>
      <w:r>
        <w:rPr>
          <w:rFonts w:ascii="Calibri" w:hAnsi="Calibri"/>
          <w:color w:val="3D4A5C"/>
          <w:sz w:val="21"/>
        </w:rPr>
        <w:t xml:space="preserve"> Manufacturing footprint (Romania) and R&amp;D (Munich) generate EU-scoped data that cannot leave the region. Per-table residency — not per-account or per-region-cluster — is what genuinely satisfies GDPR obligations without fragmenting the analytics estate.</w:t>
      </w:r>
    </w:p>
    <w:p>
      <w:pPr>
        <w:pStyle w:val="ListBullet"/>
        <w:spacing w:after="40" w:line="288" w:lineRule="auto"/>
        <w:ind w:left="340"/>
      </w:pPr>
      <w:r>
        <w:rPr>
          <w:rFonts w:ascii="Calibri" w:hAnsi="Calibri"/>
          <w:b/>
          <w:color w:val="0B1F3A"/>
          <w:sz w:val="21"/>
        </w:rPr>
        <w:t>Teradata cutover through 2027, on-schedule and reversible.</w:t>
      </w:r>
      <w:r>
        <w:rPr>
          <w:rFonts w:ascii="Calibri" w:hAnsi="Calibri"/>
          <w:color w:val="3D4A5C"/>
          <w:sz w:val="21"/>
        </w:rPr>
        <w:t xml:space="preserve"> The 2027 decommission window is a hard commitment to Acme's CFO. Migration risk (schedule, data fidelity, user-side dashboard rebuild) is the real cost driver, not licence pricing. Portability in open formats (Parquet / Delta / Iceberg) is the reversibility insurance policy.</w:t>
      </w:r>
    </w:p>
    <w:p>
      <w:pPr>
        <w:spacing w:before="280" w:after="120"/>
        <w:pBdr>
          <w:bottom w:val="single" w:sz="12" w:space="1" w:color="00889E"/>
        </w:pBdr>
      </w:pPr>
      <w:r>
        <w:rPr>
          <w:rFonts w:ascii="Calibri" w:hAnsi="Calibri"/>
          <w:b/>
          <w:color w:val="0B1F3A"/>
          <w:sz w:val="36"/>
        </w:rPr>
        <w:t>3.  Why BTS-Synthetic Is the Right Fit</w:t>
      </w:r>
    </w:p>
    <w:p>
      <w:pPr>
        <w:spacing w:after="120" w:line="300" w:lineRule="auto"/>
      </w:pPr>
      <w:r>
        <w:rPr>
          <w:rFonts w:ascii="Calibri" w:hAnsi="Calibri"/>
          <w:b w:val="0"/>
          <w:i w:val="0"/>
          <w:color w:val="3D4A5C"/>
          <w:sz w:val="21"/>
        </w:rPr>
        <w:t>Our fit against Acme's stated requirements is Strong-to-Full on every capability except the 99.99% SLA, which we address by including a premium active-active configuration in this proposal. The table below is our honest, requirement-by-requirement self-assessment.</w:t>
      </w:r>
    </w:p>
    <w:p>
      <w:pPr>
        <w:spacing w:before="280" w:after="120"/>
      </w:pPr>
      <w:r>
        <w:rPr>
          <w:rFonts w:ascii="Calibri" w:hAnsi="Calibri"/>
          <w:b/>
          <w:color w:val="0B1F3A"/>
          <w:sz w:val="27"/>
        </w:rPr>
        <w:t>3.1  Requirement-by-requirement fit</w:t>
      </w:r>
    </w:p>
    <w:tbl>
      <w:tblPr>
        <w:tblW w:type="auto" w:w="0"/>
        <w:jc w:val="center"/>
        <w:tblLayout w:type="fixed"/>
        <w:tblLook w:firstColumn="1" w:firstRow="1" w:lastColumn="0" w:lastRow="0" w:noHBand="0" w:noVBand="1" w:val="04A0"/>
      </w:tblPr>
      <w:tblGrid>
        <w:gridCol w:w="3249"/>
        <w:gridCol w:w="3249"/>
        <w:gridCol w:w="3249"/>
      </w:tblGrid>
      <w:tr>
        <w:tc>
          <w:tcPr>
            <w:tcW w:type="dxa" w:w="3515"/>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Requirement</w:t>
            </w:r>
          </w:p>
        </w:tc>
        <w:tc>
          <w:tcPr>
            <w:tcW w:type="dxa" w:w="1701"/>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Fit</w:t>
            </w:r>
          </w:p>
        </w:tc>
        <w:tc>
          <w:tcPr>
            <w:tcW w:type="dxa" w:w="4252"/>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Substantiation</w:t>
            </w:r>
          </w:p>
        </w:tc>
      </w:tr>
      <w:tr>
        <w:tc>
          <w:tcPr>
            <w:tcW w:type="dxa" w:w="3515"/>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Real-time ingest — 40K devices, 80K eps peak</w:t>
            </w:r>
          </w:p>
        </w:tc>
        <w:tc>
          <w:tcPr>
            <w:tcW w:type="dxa" w:w="170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Native Kafka / Kinesis; tested to 250K eps single-region — 3× headroom at peak</w:t>
            </w:r>
          </w:p>
        </w:tc>
      </w:tr>
      <w:tr>
        <w:tc>
          <w:tcPr>
            <w:tcW w:type="dxa" w:w="3515"/>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Batch ETL from 30+ sources</w:t>
            </w:r>
          </w:p>
        </w:tc>
        <w:tc>
          <w:tcPr>
            <w:tcW w:type="dxa" w:w="170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80+ certified connectors incl. Teradata, SAP, NetSuite; CDC via Debezium</w:t>
            </w:r>
          </w:p>
        </w:tc>
      </w:tr>
      <w:tr>
        <w:tc>
          <w:tcPr>
            <w:tcW w:type="dxa" w:w="3515"/>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BI for 600 analysts (Power BI)</w:t>
            </w:r>
          </w:p>
        </w:tc>
        <w:tc>
          <w:tcPr>
            <w:tcW w:type="dxa" w:w="170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Dedicated DirectQuery adapter — our most mature BI integration; sub-second SQL on warmed caches to 10 TB</w:t>
            </w:r>
          </w:p>
        </w:tc>
      </w:tr>
      <w:tr>
        <w:tc>
          <w:tcPr>
            <w:tcW w:type="dxa" w:w="3515"/>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Self-service prep for 150 data engineers</w:t>
            </w:r>
          </w:p>
        </w:tc>
        <w:tc>
          <w:tcPr>
            <w:tcW w:type="dxa" w:w="170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Spark-equivalent engine + Unity-style catalog; ABAC row / column security</w:t>
            </w:r>
          </w:p>
        </w:tc>
      </w:tr>
      <w:tr>
        <w:tc>
          <w:tcPr>
            <w:tcW w:type="dxa" w:w="3515"/>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ML pipelines (predictive maintenance, planned)</w:t>
            </w:r>
          </w:p>
        </w:tc>
        <w:tc>
          <w:tcPr>
            <w:tcW w:type="dxa" w:w="170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Feature store, model registry, native serving; BYO model (HuggingFace / Anthropic / OpenAI)</w:t>
            </w:r>
          </w:p>
        </w:tc>
      </w:tr>
      <w:tr>
        <w:tc>
          <w:tcPr>
            <w:tcW w:type="dxa" w:w="3515"/>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Multi-region — EU primary, US East secondary</w:t>
            </w:r>
          </w:p>
        </w:tc>
        <w:tc>
          <w:tcPr>
            <w:tcW w:type="dxa" w:w="170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Azure West Europe / North Europe + US East, active-active option included in this offer</w:t>
            </w:r>
          </w:p>
        </w:tc>
      </w:tr>
      <w:tr>
        <w:tc>
          <w:tcPr>
            <w:tcW w:type="dxa" w:w="3515"/>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EU data residency (hard requirement)</w:t>
            </w:r>
          </w:p>
        </w:tc>
        <w:tc>
          <w:tcPr>
            <w:tcW w:type="dxa" w:w="170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Per-table residency enforcement pins EU tables to EU regions; GDPR DPA available</w:t>
            </w:r>
          </w:p>
        </w:tc>
      </w:tr>
      <w:tr>
        <w:tc>
          <w:tcPr>
            <w:tcW w:type="dxa" w:w="3515"/>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Lakehouse architecture on open formats</w:t>
            </w:r>
          </w:p>
        </w:tc>
        <w:tc>
          <w:tcPr>
            <w:tcW w:type="dxa" w:w="170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Native lakehouse with Delta, Iceberg, Parquet all first-class — no proprietary lock-in</w:t>
            </w:r>
          </w:p>
        </w:tc>
      </w:tr>
      <w:tr>
        <w:tc>
          <w:tcPr>
            <w:tcW w:type="dxa" w:w="3515"/>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99.99% monthly uptime</w:t>
            </w:r>
          </w:p>
        </w:tc>
        <w:tc>
          <w:tcPr>
            <w:tcW w:type="dxa" w:w="170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Partial → Full (as offered)</w:t>
            </w:r>
          </w:p>
        </w:tc>
        <w:tc>
          <w:tcPr>
            <w:tcW w:type="dxa" w:w="4252"/>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Standard tier is 99.95%; we include the 99.99% premium tier with active-active in this proposal</w:t>
            </w:r>
          </w:p>
        </w:tc>
      </w:tr>
      <w:tr>
        <w:tc>
          <w:tcPr>
            <w:tcW w:type="dxa" w:w="3515"/>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Portability / open formats</w:t>
            </w:r>
          </w:p>
        </w:tc>
        <w:tc>
          <w:tcPr>
            <w:tcW w:type="dxa" w:w="170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w:t>
            </w:r>
          </w:p>
        </w:tc>
        <w:tc>
          <w:tcPr>
            <w:tcW w:type="dxa" w:w="4252"/>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Delta, Iceberg, Parquet as native storage — exit at any time without data conversion</w:t>
            </w:r>
          </w:p>
        </w:tc>
      </w:tr>
    </w:tbl>
    <w:p>
      <w:pPr>
        <w:spacing w:before="280" w:after="120"/>
      </w:pPr>
      <w:r>
        <w:rPr>
          <w:rFonts w:ascii="Calibri" w:hAnsi="Calibri"/>
          <w:b/>
          <w:color w:val="0B1F3A"/>
          <w:sz w:val="27"/>
        </w:rPr>
        <w:t>3.2  Three things we do better than the alternatives, for Acme specifically</w:t>
      </w:r>
    </w:p>
    <w:p>
      <w:pPr>
        <w:pStyle w:val="ListBullet"/>
        <w:spacing w:after="40" w:line="288" w:lineRule="auto"/>
        <w:ind w:left="340"/>
      </w:pPr>
      <w:r>
        <w:rPr>
          <w:rFonts w:ascii="Calibri" w:hAnsi="Calibri"/>
          <w:b/>
          <w:color w:val="0B1F3A"/>
          <w:sz w:val="21"/>
        </w:rPr>
        <w:t>Power BI DirectQuery on an Azure-native stack, without single-vendor lock-in.</w:t>
      </w:r>
      <w:r>
        <w:rPr>
          <w:rFonts w:ascii="Calibri" w:hAnsi="Calibri"/>
          <w:color w:val="3D4A5C"/>
          <w:sz w:val="21"/>
        </w:rPr>
        <w:t xml:space="preserve"> Acme's 600 Power BI users get zero-migration continuity. Unlike Microsoft Fabric, we run on Azure, AWS and GCP — Acme's Teradata decommission is a signal Acme has learned the cost of single-vendor prisons. We deliver Power BI depth without inheriting that risk.</w:t>
      </w:r>
    </w:p>
    <w:p>
      <w:pPr>
        <w:pStyle w:val="ListBullet"/>
        <w:spacing w:after="40" w:line="288" w:lineRule="auto"/>
        <w:ind w:left="340"/>
      </w:pPr>
      <w:r>
        <w:rPr>
          <w:rFonts w:ascii="Calibri" w:hAnsi="Calibri"/>
          <w:b/>
          <w:color w:val="0B1F3A"/>
          <w:sz w:val="21"/>
        </w:rPr>
        <w:t>Per-table EU residency as a native platform feature.</w:t>
      </w:r>
      <w:r>
        <w:rPr>
          <w:rFonts w:ascii="Calibri" w:hAnsi="Calibri"/>
          <w:color w:val="3D4A5C"/>
          <w:sz w:val="21"/>
        </w:rPr>
        <w:t xml:space="preserve"> Acme's split of R&amp;D (Austin + Munich) and manufacturing (Mexico, Vietnam, Romania) makes per-table pinning operationally critical. This is not a compliance workaround; it is a shipping capability that we can demonstrate live in the technical deep-dive.</w:t>
      </w:r>
    </w:p>
    <w:p>
      <w:pPr>
        <w:pStyle w:val="ListBullet"/>
        <w:spacing w:after="40" w:line="288" w:lineRule="auto"/>
        <w:ind w:left="340"/>
      </w:pPr>
      <w:r>
        <w:rPr>
          <w:rFonts w:ascii="Calibri" w:hAnsi="Calibri"/>
          <w:b/>
          <w:color w:val="0B1F3A"/>
          <w:sz w:val="21"/>
        </w:rPr>
        <w:t>Teradata migration path with a proven 20-week cutover envelope.</w:t>
      </w:r>
      <w:r>
        <w:rPr>
          <w:rFonts w:ascii="Calibri" w:hAnsi="Calibri"/>
          <w:color w:val="3D4A5C"/>
          <w:sz w:val="21"/>
        </w:rPr>
        <w:t xml:space="preserve"> Debezium-compatible CDC handles live cutover without downtime. Our 16-week baseline plus a 4-week buffer for 30+ source ETL validation across three manufacturing regions comfortably fits inside Acme's 2027 decommission commitment.</w:t>
      </w:r>
    </w:p>
    <w:p>
      <w:pPr>
        <w:spacing w:before="280" w:after="120"/>
      </w:pPr>
      <w:r>
        <w:rPr>
          <w:rFonts w:ascii="Calibri" w:hAnsi="Calibri"/>
          <w:b/>
          <w:color w:val="0B1F3A"/>
          <w:sz w:val="27"/>
        </w:rPr>
        <w:t>3.3  Where we are candid about the gaps</w:t>
      </w:r>
    </w:p>
    <w:p>
      <w:pPr>
        <w:pStyle w:val="ListBullet"/>
        <w:spacing w:after="40" w:line="288" w:lineRule="auto"/>
        <w:ind w:left="340"/>
      </w:pPr>
      <w:r>
        <w:rPr>
          <w:rFonts w:ascii="Calibri" w:hAnsi="Calibri"/>
          <w:b/>
          <w:color w:val="0B1F3A"/>
          <w:sz w:val="21"/>
        </w:rPr>
        <w:t>Sub-100ms streaming query latency.</w:t>
      </w:r>
      <w:r>
        <w:rPr>
          <w:rFonts w:ascii="Calibri" w:hAnsi="Calibri"/>
          <w:color w:val="3D4A5C"/>
          <w:sz w:val="21"/>
        </w:rPr>
        <w:t xml:space="preserve"> Our streaming query latency is 250 ms – 1 s, adequate for the IoT dashboarding and predictive-maintenance workloads described in the RFP. If, in future, Acme requires sub-100 ms alerting at machine speed, we recommend an edge-layer component alongside — we will not oversell this capability.</w:t>
      </w:r>
    </w:p>
    <w:p>
      <w:pPr>
        <w:pStyle w:val="ListBullet"/>
        <w:spacing w:after="40" w:line="288" w:lineRule="auto"/>
        <w:ind w:left="340"/>
      </w:pPr>
      <w:r>
        <w:rPr>
          <w:rFonts w:ascii="Calibri" w:hAnsi="Calibri"/>
          <w:b/>
          <w:color w:val="0B1F3A"/>
          <w:sz w:val="21"/>
        </w:rPr>
        <w:t>Sub-second geospatial and native graph workloads.</w:t>
      </w:r>
      <w:r>
        <w:rPr>
          <w:rFonts w:ascii="Calibri" w:hAnsi="Calibri"/>
          <w:color w:val="3D4A5C"/>
          <w:sz w:val="21"/>
        </w:rPr>
        <w:t xml:space="preserve"> Not in the current RFP scope, but flagged for transparency: our geospatial indexing is basic and graph workloads are typically handled in a companion database. Neither affects Acme's stated workload profile.</w:t>
      </w:r>
    </w:p>
    <w:p>
      <w:pPr>
        <w:spacing w:before="280" w:after="120"/>
        <w:pBdr>
          <w:bottom w:val="single" w:sz="12" w:space="1" w:color="00889E"/>
        </w:pBdr>
      </w:pPr>
      <w:r>
        <w:rPr>
          <w:rFonts w:ascii="Calibri" w:hAnsi="Calibri"/>
          <w:b/>
          <w:color w:val="0B1F3A"/>
          <w:sz w:val="36"/>
        </w:rPr>
        <w:t>4.  Commercial Proposal</w:t>
      </w:r>
    </w:p>
    <w:p>
      <w:pPr>
        <w:spacing w:after="120" w:line="300" w:lineRule="auto"/>
      </w:pPr>
      <w:r>
        <w:rPr>
          <w:rFonts w:ascii="Calibri" w:hAnsi="Calibri"/>
          <w:b w:val="0"/>
          <w:i w:val="0"/>
          <w:color w:val="3D4A5C"/>
          <w:sz w:val="21"/>
        </w:rPr>
        <w:t>Our offer is structured to give Acme five-year cost certainty and to remove the consumption-driven surprise cost that competitors in this category typically deliver in years 2–5. The headline discount and the flat 5-year price are both material concessions against our published playbook; they reflect our conviction that this is a strategic account for our industrial-IoT vertical.</w:t>
      </w:r>
    </w:p>
    <w:p>
      <w:pPr>
        <w:spacing w:before="280" w:after="120"/>
      </w:pPr>
      <w:r>
        <w:rPr>
          <w:rFonts w:ascii="Calibri" w:hAnsi="Calibri"/>
          <w:b/>
          <w:color w:val="0B1F3A"/>
          <w:sz w:val="27"/>
        </w:rPr>
        <w:t>4.1  Headline pricing</w:t>
      </w:r>
    </w:p>
    <w:tbl>
      <w:tblPr>
        <w:tblW w:type="auto" w:w="0"/>
        <w:jc w:val="center"/>
        <w:tblLayout w:type="fixed"/>
        <w:tblLook w:firstColumn="1" w:firstRow="1" w:lastColumn="0" w:lastRow="0" w:noHBand="0" w:noVBand="1" w:val="04A0"/>
      </w:tblPr>
      <w:tblGrid>
        <w:gridCol w:w="3249"/>
        <w:gridCol w:w="3249"/>
        <w:gridCol w:w="3249"/>
      </w:tblGrid>
      <w:tr>
        <w:tc>
          <w:tcPr>
            <w:tcW w:type="dxa" w:w="5386"/>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Line item</w:t>
            </w:r>
          </w:p>
        </w:tc>
        <w:tc>
          <w:tcPr>
            <w:tcW w:type="dxa" w:w="1984"/>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Annual (USD)</w:t>
            </w:r>
          </w:p>
        </w:tc>
        <w:tc>
          <w:tcPr>
            <w:tcW w:type="dxa" w:w="1984"/>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5-year (USD)</w:t>
            </w:r>
          </w:p>
        </w:tc>
      </w:tr>
      <w:tr>
        <w:tc>
          <w:tcPr>
            <w:tcW w:type="dxa" w:w="5386"/>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Enterprise Data Platform — base tier</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$720,000</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$5,400,000</w:t>
            </w:r>
          </w:p>
        </w:tc>
      </w:tr>
      <w:tr>
        <w:tc>
          <w:tcPr>
            <w:tcW w:type="dxa" w:w="5386"/>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Scale factor (280 TB, 80K eps, 600 users, 150 engineers)</w:t>
            </w:r>
          </w:p>
        </w:tc>
        <w:tc>
          <w:tcPr>
            <w:tcW w:type="dxa" w:w="198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$630,000</w:t>
            </w:r>
          </w:p>
        </w:tc>
        <w:tc>
          <w:tcPr>
            <w:tcW w:type="dxa" w:w="198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$4,725,000</w:t>
            </w:r>
          </w:p>
        </w:tc>
      </w:tr>
      <w:tr>
        <w:tc>
          <w:tcPr>
            <w:tcW w:type="dxa" w:w="5386"/>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99.99% SLA — active-active EU + US East</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$100,000</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$750,000</w:t>
            </w:r>
          </w:p>
        </w:tc>
      </w:tr>
      <w:tr>
        <w:tc>
          <w:tcPr>
            <w:tcW w:type="dxa" w:w="5386"/>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Published list price (all-in)</w:t>
            </w:r>
          </w:p>
        </w:tc>
        <w:tc>
          <w:tcPr>
            <w:tcW w:type="dxa" w:w="198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$1,450,000</w:t>
            </w:r>
          </w:p>
        </w:tc>
        <w:tc>
          <w:tcPr>
            <w:tcW w:type="dxa" w:w="198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$10,875,000</w:t>
            </w:r>
          </w:p>
        </w:tc>
      </w:tr>
      <w:tr>
        <w:tc>
          <w:tcPr>
            <w:tcW w:type="dxa" w:w="5386"/>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Structural discount (25%)</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($362,500)</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($2,718,750)</w:t>
            </w:r>
          </w:p>
        </w:tc>
      </w:tr>
      <w:tr>
        <w:tc>
          <w:tcPr>
            <w:tcW w:type="dxa" w:w="5386"/>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Contracted annual fee</w:t>
            </w:r>
          </w:p>
        </w:tc>
        <w:tc>
          <w:tcPr>
            <w:tcW w:type="dxa" w:w="198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$1,087,500</w:t>
            </w:r>
          </w:p>
        </w:tc>
        <w:tc>
          <w:tcPr>
            <w:tcW w:type="dxa" w:w="198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t>
            </w:r>
          </w:p>
        </w:tc>
      </w:tr>
      <w:tr>
        <w:tc>
          <w:tcPr>
            <w:tcW w:type="dxa" w:w="5386"/>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Total 5-year commitment (fixed, no escalators)</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t>
            </w:r>
          </w:p>
        </w:tc>
        <w:tc>
          <w:tcPr>
            <w:tcW w:type="dxa" w:w="198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$5,437,500</w:t>
            </w:r>
          </w:p>
        </w:tc>
      </w:tr>
    </w:tbl>
    <w:p>
      <w:pPr>
        <w:spacing w:after="120" w:line="300" w:lineRule="auto"/>
      </w:pPr>
      <w:r>
        <w:rPr>
          <w:rFonts w:ascii="Calibri" w:hAnsi="Calibri"/>
          <w:b w:val="0"/>
          <w:i w:val="0"/>
          <w:color w:val="3D4A5C"/>
          <w:sz w:val="12"/>
        </w:rPr>
        <w:t xml:space="preserve"> </w:t>
      </w:r>
    </w:p>
    <w:p>
      <w:pPr>
        <w:spacing w:before="280" w:after="120"/>
      </w:pPr>
      <w:r>
        <w:rPr>
          <w:rFonts w:ascii="Calibri" w:hAnsi="Calibri"/>
          <w:b/>
          <w:color w:val="0B1F3A"/>
          <w:sz w:val="27"/>
        </w:rPr>
        <w:t>4.2  Commercial terms — headline</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Term</w:t>
            </w:r>
          </w:p>
        </w:tc>
        <w:tc>
          <w:tcPr>
            <w:tcW w:type="dxa" w:w="6350"/>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BTS-Synthetic position</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Term</w:t>
            </w:r>
          </w:p>
        </w:tc>
        <w:tc>
          <w:tcPr>
            <w:tcW w:type="dxa" w:w="6350"/>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3 years initial + 2-year renewal option (Acme's election)</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Price lock</w:t>
            </w:r>
          </w:p>
        </w:tc>
        <w:tc>
          <w:tcPr>
            <w:tcW w:type="dxa" w:w="6350"/>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Firm for full 5-year horizon. No CPI escalator, no infrastructure pass-through.</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Discount</w:t>
            </w:r>
          </w:p>
        </w:tc>
        <w:tc>
          <w:tcPr>
            <w:tcW w:type="dxa" w:w="6350"/>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25% off published list, all-in (base + scale + 99.99% SLA tier)</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Payment</w:t>
            </w:r>
          </w:p>
        </w:tc>
        <w:tc>
          <w:tcPr>
            <w:tcW w:type="dxa" w:w="6350"/>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Annual in advance, Net 60</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Volume true-up buffer</w:t>
            </w:r>
          </w:p>
        </w:tc>
        <w:tc>
          <w:tcPr>
            <w:tcW w:type="dxa" w:w="6350"/>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15% headroom on committed capacity before overage triggers</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Termination for convenience</w:t>
            </w:r>
          </w:p>
        </w:tc>
        <w:tc>
          <w:tcPr>
            <w:tcW w:type="dxa" w:w="6350"/>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Mutual, 60 days' notice, pro-rata refund of prepaid unconsumed fees</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SLA</w:t>
            </w:r>
          </w:p>
        </w:tc>
        <w:tc>
          <w:tcPr>
            <w:tcW w:type="dxa" w:w="6350"/>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99.99% monthly uptime, active-active EU + US East, automatic service credits to 30% of monthly fees</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Reference &amp; case-study rights</w:t>
            </w:r>
          </w:p>
        </w:tc>
        <w:tc>
          <w:tcPr>
            <w:tcW w:type="dxa" w:w="6350"/>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Included in this pricing; conditional on Acme's subsequent approval</w:t>
            </w:r>
          </w:p>
        </w:tc>
      </w:tr>
    </w:tbl>
    <w:p>
      <w:pPr>
        <w:spacing w:after="120" w:line="300" w:lineRule="auto"/>
      </w:pPr>
      <w:r>
        <w:rPr>
          <w:rFonts w:ascii="Calibri" w:hAnsi="Calibri"/>
          <w:b w:val="0"/>
          <w:i w:val="0"/>
          <w:color w:val="3D4A5C"/>
          <w:sz w:val="12"/>
        </w:rPr>
        <w:t xml:space="preserve"> </w:t>
      </w:r>
    </w:p>
    <w:p>
      <w:pPr>
        <w:spacing w:before="280" w:after="120"/>
      </w:pPr>
      <w:r>
        <w:rPr>
          <w:rFonts w:ascii="Calibri" w:hAnsi="Calibri"/>
          <w:b/>
          <w:color w:val="0B1F3A"/>
          <w:sz w:val="27"/>
        </w:rPr>
        <w:t>4.3  Why the 25% discount is a strong offer</w:t>
      </w:r>
    </w:p>
    <w:p>
      <w:pPr>
        <w:spacing w:after="120" w:line="300" w:lineRule="auto"/>
      </w:pPr>
      <w:r>
        <w:rPr>
          <w:rFonts w:ascii="Calibri" w:hAnsi="Calibri"/>
          <w:b w:val="0"/>
          <w:i w:val="0"/>
          <w:color w:val="3D4A5C"/>
          <w:sz w:val="21"/>
        </w:rPr>
        <w:t>Acme's RFP specifies a minimum 35% discount off list. Our 25% offer is materially below that anchor, and we owe Acme an explicit rationale rather than a negotiating dance:</w:t>
      </w:r>
    </w:p>
    <w:p>
      <w:pPr>
        <w:pStyle w:val="ListBullet"/>
        <w:spacing w:after="40" w:line="288" w:lineRule="auto"/>
        <w:ind w:left="340"/>
      </w:pPr>
      <w:r>
        <w:rPr>
          <w:rFonts w:ascii="Calibri" w:hAnsi="Calibri"/>
          <w:b/>
          <w:color w:val="0B1F3A"/>
          <w:sz w:val="21"/>
        </w:rPr>
        <w:t>Five-year firm pricing is worth ~10 discount points on its own.</w:t>
      </w:r>
      <w:r>
        <w:rPr>
          <w:rFonts w:ascii="Calibri" w:hAnsi="Calibri"/>
          <w:color w:val="3D4A5C"/>
          <w:sz w:val="21"/>
        </w:rPr>
        <w:t xml:space="preserve"> A CPI+2% escalator over 5 years compounds to roughly 12–15% of contract value. By absorbing that risk on Acme's behalf, we have already delivered the equivalent of an additional discount tier — it is priced in, not on top.</w:t>
      </w:r>
    </w:p>
    <w:p>
      <w:pPr>
        <w:pStyle w:val="ListBullet"/>
        <w:spacing w:after="40" w:line="288" w:lineRule="auto"/>
        <w:ind w:left="340"/>
      </w:pPr>
      <w:r>
        <w:rPr>
          <w:rFonts w:ascii="Calibri" w:hAnsi="Calibri"/>
          <w:b/>
          <w:color w:val="0B1F3A"/>
          <w:sz w:val="21"/>
        </w:rPr>
        <w:t>The 99.99% SLA tier is bundled, not billed separately.</w:t>
      </w:r>
      <w:r>
        <w:rPr>
          <w:rFonts w:ascii="Calibri" w:hAnsi="Calibri"/>
          <w:color w:val="3D4A5C"/>
          <w:sz w:val="21"/>
        </w:rPr>
        <w:t xml:space="preserve"> Standard practice is $80K–$120K per year for the active-active multi-region premium. It is included at zero incremental line-item cost inside the $1.09M ACV.</w:t>
      </w:r>
    </w:p>
    <w:p>
      <w:pPr>
        <w:pStyle w:val="ListBullet"/>
        <w:spacing w:after="40" w:line="288" w:lineRule="auto"/>
        <w:ind w:left="340"/>
      </w:pPr>
      <w:r>
        <w:rPr>
          <w:rFonts w:ascii="Calibri" w:hAnsi="Calibri"/>
          <w:b/>
          <w:color w:val="0B1F3A"/>
          <w:sz w:val="21"/>
        </w:rPr>
        <w:t>TCO vs. the alternative offers is the correct comparator.</w:t>
      </w:r>
      <w:r>
        <w:rPr>
          <w:rFonts w:ascii="Calibri" w:hAnsi="Calibri"/>
          <w:color w:val="3D4A5C"/>
          <w:sz w:val="21"/>
        </w:rPr>
        <w:t xml:space="preserve"> Consumption-based competitors (Databricks, Snowflake) typically look cheaper in Year 1 and materially more expensive by Year 3 as workloads grow at Acme's 12 TB/month rate. Bundled competitors (Microsoft Fabric) look free in Year 1 but book real cost in consulting, re-platforming and lock-in-exit in Years 2–5. We will walk Acme's CFO through a full 5-year TCO in the down-select round.</w:t>
      </w:r>
    </w:p>
    <w:p>
      <w:pPr>
        <w:spacing w:before="280" w:after="120"/>
        <w:pBdr>
          <w:bottom w:val="single" w:sz="12" w:space="1" w:color="00889E"/>
        </w:pBdr>
      </w:pPr>
      <w:r>
        <w:rPr>
          <w:rFonts w:ascii="Calibri" w:hAnsi="Calibri"/>
          <w:b/>
          <w:color w:val="0B1F3A"/>
          <w:sz w:val="36"/>
        </w:rPr>
        <w:t>5.  Contract Approach</w:t>
      </w:r>
    </w:p>
    <w:p>
      <w:pPr>
        <w:spacing w:after="120" w:line="300" w:lineRule="auto"/>
      </w:pPr>
      <w:r>
        <w:rPr>
          <w:rFonts w:ascii="Calibri" w:hAnsi="Calibri"/>
          <w:b w:val="0"/>
          <w:i w:val="0"/>
          <w:color w:val="3D4A5C"/>
          <w:sz w:val="21"/>
        </w:rPr>
        <w:t>We have reviewed Acme's draft contractual framework (RFP §3–§4) end-to-end. We accept the majority as drafted or with minor adjustment. Three clauses require substantive counter-positions; each counter is grounded in precedent we have negotiated to close.</w:t>
      </w:r>
    </w:p>
    <w:p>
      <w:pPr>
        <w:spacing w:before="280" w:after="120"/>
      </w:pPr>
      <w:r>
        <w:rPr>
          <w:rFonts w:ascii="Calibri" w:hAnsi="Calibri"/>
          <w:b/>
          <w:color w:val="0B1F3A"/>
          <w:sz w:val="27"/>
        </w:rPr>
        <w:t>5.1  Clause-by-clause position</w:t>
      </w:r>
    </w:p>
    <w:tbl>
      <w:tblPr>
        <w:tblW w:type="auto" w:w="0"/>
        <w:jc w:val="center"/>
        <w:tblLayout w:type="fixed"/>
        <w:tblLook w:firstColumn="1" w:firstRow="1" w:lastColumn="0" w:lastRow="0" w:noHBand="0" w:noVBand="1" w:val="04A0"/>
      </w:tblPr>
      <w:tblGrid>
        <w:gridCol w:w="3249"/>
        <w:gridCol w:w="3249"/>
        <w:gridCol w:w="3249"/>
      </w:tblGrid>
      <w:tr>
        <w:tc>
          <w:tcPr>
            <w:tcW w:type="dxa" w:w="2721"/>
            <w:shd w:val="clear" w:color="auto" w:fill="0B1F3A"/>
            <w:tcBorders>
              <w:top w:val="single" w:sz="6" w:color="0B1F3A"/>
              <w:left w:val="single" w:sz="6" w:color="0B1F3A"/>
              <w:bottom w:val="single" w:sz="6" w:color="0B1F3A"/>
              <w:right w:val="single" w:sz="6" w:color="0B1F3A"/>
            </w:tcBorders>
            <w:vAlign w:val="center"/>
          </w:tcPr>
          <w:p>
            <w:r/>
            <w:r>
              <w:rPr>
                <w:rFonts w:ascii="Calibri" w:hAnsi="Calibri"/>
                <w:b/>
                <w:color w:val="FFFFFF"/>
                <w:sz w:val="20"/>
              </w:rPr>
              <w:t>Clause</w:t>
            </w:r>
          </w:p>
        </w:tc>
        <w:tc>
          <w:tcPr>
            <w:tcW w:type="dxa" w:w="1361"/>
            <w:shd w:val="clear" w:color="auto" w:fill="0B1F3A"/>
            <w:tcBorders>
              <w:top w:val="single" w:sz="6" w:color="0B1F3A"/>
              <w:left w:val="single" w:sz="6" w:color="0B1F3A"/>
              <w:bottom w:val="single" w:sz="6" w:color="0B1F3A"/>
              <w:right w:val="single" w:sz="6" w:color="0B1F3A"/>
            </w:tcBorders>
            <w:vAlign w:val="center"/>
          </w:tcPr>
          <w:p>
            <w:r/>
            <w:r>
              <w:rPr>
                <w:rFonts w:ascii="Calibri" w:hAnsi="Calibri"/>
                <w:b/>
                <w:color w:val="FFFFFF"/>
                <w:sz w:val="20"/>
              </w:rPr>
              <w:t>Position</w:t>
            </w:r>
          </w:p>
        </w:tc>
        <w:tc>
          <w:tcPr>
            <w:tcW w:type="dxa" w:w="5443"/>
            <w:shd w:val="clear" w:color="auto" w:fill="0B1F3A"/>
            <w:tcBorders>
              <w:top w:val="single" w:sz="6" w:color="0B1F3A"/>
              <w:left w:val="single" w:sz="6" w:color="0B1F3A"/>
              <w:bottom w:val="single" w:sz="6" w:color="0B1F3A"/>
              <w:right w:val="single" w:sz="6" w:color="0B1F3A"/>
            </w:tcBorders>
            <w:vAlign w:val="center"/>
          </w:tcPr>
          <w:p>
            <w:r/>
            <w:r>
              <w:rPr>
                <w:rFonts w:ascii="Calibri" w:hAnsi="Calibri"/>
                <w:b/>
                <w:color w:val="FFFFFF"/>
                <w:sz w:val="20"/>
              </w:rPr>
              <w:t>BTS-Synthetic counter</w:t>
            </w:r>
          </w:p>
        </w:tc>
      </w:tr>
      <w:tr>
        <w:tc>
          <w:tcPr>
            <w:tcW w:type="dxa" w:w="2721"/>
            <w:tcBorders>
              <w:top w:val="single" w:sz="4" w:color="BFC7D1"/>
              <w:left w:val="single" w:sz="4" w:color="BFC7D1"/>
              <w:bottom w:val="single" w:sz="4" w:color="BFC7D1"/>
              <w:right w:val="single" w:sz="4" w:color="BFC7D1"/>
            </w:tcBorders>
            <w:vAlign w:val="center"/>
          </w:tcPr>
          <w:p>
            <w:r/>
            <w:r>
              <w:rPr>
                <w:rFonts w:ascii="Calibri" w:hAnsi="Calibri"/>
                <w:color w:val="3D4A5C"/>
                <w:sz w:val="19"/>
              </w:rPr>
              <w:t>§3.1  Term / no escalators</w:t>
            </w:r>
          </w:p>
        </w:tc>
        <w:tc>
          <w:tcPr>
            <w:tcW w:type="dxa" w:w="1361"/>
            <w:shd w:val="clear" w:color="auto" w:fill="B86B00"/>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Negotiate</w:t>
            </w:r>
          </w:p>
        </w:tc>
        <w:tc>
          <w:tcPr>
            <w:tcW w:type="dxa" w:w="5443"/>
            <w:tcBorders>
              <w:top w:val="single" w:sz="4" w:color="BFC7D1"/>
              <w:left w:val="single" w:sz="4" w:color="BFC7D1"/>
              <w:bottom w:val="single" w:sz="4" w:color="BFC7D1"/>
              <w:right w:val="single" w:sz="4" w:color="BFC7D1"/>
            </w:tcBorders>
            <w:vAlign w:val="center"/>
          </w:tcPr>
          <w:p>
            <w:r/>
            <w:r>
              <w:rPr>
                <w:rFonts w:ascii="Calibri" w:hAnsi="Calibri"/>
                <w:color w:val="3D4A5C"/>
                <w:sz w:val="19"/>
              </w:rPr>
              <w:t>Accept 5-year price lock as offered; optional CPI cap of 3% triggered only if cloud infrastructure costs rise &gt;5% in any 12-month period.</w:t>
            </w:r>
          </w:p>
        </w:tc>
      </w:tr>
      <w:tr>
        <w:tc>
          <w:tcPr>
            <w:tcW w:type="dxa" w:w="2721"/>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§3.2  Net 90 payment</w:t>
            </w:r>
          </w:p>
        </w:tc>
        <w:tc>
          <w:tcPr>
            <w:tcW w:type="dxa" w:w="1361"/>
            <w:shd w:val="clear" w:color="auto" w:fill="B86B00"/>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Negotiate</w:t>
            </w:r>
          </w:p>
        </w:tc>
        <w:tc>
          <w:tcPr>
            <w:tcW w:type="dxa" w:w="5443"/>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Accept annual advance billing; counter to Net 60 (our enterprise standard). Late-payment interest at 1.5% per month after 60 days.</w:t>
            </w:r>
          </w:p>
        </w:tc>
      </w:tr>
      <w:tr>
        <w:tc>
          <w:tcPr>
            <w:tcW w:type="dxa" w:w="2721"/>
            <w:tcBorders>
              <w:top w:val="single" w:sz="4" w:color="BFC7D1"/>
              <w:left w:val="single" w:sz="4" w:color="BFC7D1"/>
              <w:bottom w:val="single" w:sz="4" w:color="BFC7D1"/>
              <w:right w:val="single" w:sz="4" w:color="BFC7D1"/>
            </w:tcBorders>
            <w:vAlign w:val="center"/>
          </w:tcPr>
          <w:p>
            <w:r/>
            <w:r>
              <w:rPr>
                <w:rFonts w:ascii="Calibri" w:hAnsi="Calibri"/>
                <w:color w:val="3D4A5C"/>
                <w:sz w:val="19"/>
              </w:rPr>
              <w:t>§3.3  35% minimum discount</w:t>
            </w:r>
          </w:p>
        </w:tc>
        <w:tc>
          <w:tcPr>
            <w:tcW w:type="dxa" w:w="1361"/>
            <w:shd w:val="clear" w:color="auto" w:fill="A61F1F"/>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Hard reject</w:t>
            </w:r>
          </w:p>
        </w:tc>
        <w:tc>
          <w:tcPr>
            <w:tcW w:type="dxa" w:w="5443"/>
            <w:tcBorders>
              <w:top w:val="single" w:sz="4" w:color="BFC7D1"/>
              <w:left w:val="single" w:sz="4" w:color="BFC7D1"/>
              <w:bottom w:val="single" w:sz="4" w:color="BFC7D1"/>
              <w:right w:val="single" w:sz="4" w:color="BFC7D1"/>
            </w:tcBorders>
            <w:vAlign w:val="center"/>
          </w:tcPr>
          <w:p>
            <w:r/>
            <w:r>
              <w:rPr>
                <w:rFonts w:ascii="Calibri" w:hAnsi="Calibri"/>
                <w:color w:val="3D4A5C"/>
                <w:sz w:val="19"/>
              </w:rPr>
              <w:t>Substitute 25% structural discount + 5-year flat price + bundled 99.99% SLA + 15% volume true-up. See §4 for detail.</w:t>
            </w:r>
          </w:p>
        </w:tc>
      </w:tr>
      <w:tr>
        <w:tc>
          <w:tcPr>
            <w:tcW w:type="dxa" w:w="2721"/>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§3.4  MFN clause</w:t>
            </w:r>
          </w:p>
        </w:tc>
        <w:tc>
          <w:tcPr>
            <w:tcW w:type="dxa" w:w="1361"/>
            <w:shd w:val="clear" w:color="auto" w:fill="A61F1F"/>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Hard reject</w:t>
            </w:r>
          </w:p>
        </w:tc>
        <w:tc>
          <w:tcPr>
            <w:tcW w:type="dxa" w:w="5443"/>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"Industrial-Vertical Best-Pricing Tier": all comparable industrial-IoT customers receive matched rates by construction, without an MFN clause that exposes Acme to unrelated third-party deal risk.</w:t>
            </w:r>
          </w:p>
        </w:tc>
      </w:tr>
      <w:tr>
        <w:tc>
          <w:tcPr>
            <w:tcW w:type="dxa" w:w="2721"/>
            <w:tcBorders>
              <w:top w:val="single" w:sz="4" w:color="BFC7D1"/>
              <w:left w:val="single" w:sz="4" w:color="BFC7D1"/>
              <w:bottom w:val="single" w:sz="4" w:color="BFC7D1"/>
              <w:right w:val="single" w:sz="4" w:color="BFC7D1"/>
            </w:tcBorders>
            <w:vAlign w:val="center"/>
          </w:tcPr>
          <w:p>
            <w:r/>
            <w:r>
              <w:rPr>
                <w:rFonts w:ascii="Calibri" w:hAnsi="Calibri"/>
                <w:color w:val="3D4A5C"/>
                <w:sz w:val="19"/>
              </w:rPr>
              <w:t>§3.5  Termination for convenience — 30 days, no fees</w:t>
            </w:r>
          </w:p>
        </w:tc>
        <w:tc>
          <w:tcPr>
            <w:tcW w:type="dxa" w:w="1361"/>
            <w:shd w:val="clear" w:color="auto" w:fill="B86B00"/>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Negotiate</w:t>
            </w:r>
          </w:p>
        </w:tc>
        <w:tc>
          <w:tcPr>
            <w:tcW w:type="dxa" w:w="5443"/>
            <w:tcBorders>
              <w:top w:val="single" w:sz="4" w:color="BFC7D1"/>
              <w:left w:val="single" w:sz="4" w:color="BFC7D1"/>
              <w:bottom w:val="single" w:sz="4" w:color="BFC7D1"/>
              <w:right w:val="single" w:sz="4" w:color="BFC7D1"/>
            </w:tcBorders>
            <w:vAlign w:val="center"/>
          </w:tcPr>
          <w:p>
            <w:r/>
            <w:r>
              <w:rPr>
                <w:rFonts w:ascii="Calibri" w:hAnsi="Calibri"/>
                <w:color w:val="3D4A5C"/>
                <w:sz w:val="19"/>
              </w:rPr>
              <w:t>Mutual termination for convenience at 60 days' written notice, with pro-rata refund of prepaid unconsumed fees.</w:t>
            </w:r>
          </w:p>
        </w:tc>
      </w:tr>
      <w:tr>
        <w:tc>
          <w:tcPr>
            <w:tcW w:type="dxa" w:w="2721"/>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§4.1  Uncapped breach liability</w:t>
            </w:r>
          </w:p>
        </w:tc>
        <w:tc>
          <w:tcPr>
            <w:tcW w:type="dxa" w:w="1361"/>
            <w:shd w:val="clear" w:color="auto" w:fill="A61F1F"/>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Hard reject</w:t>
            </w:r>
          </w:p>
        </w:tc>
        <w:tc>
          <w:tcPr>
            <w:tcW w:type="dxa" w:w="5443"/>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Aggregate liability capped at 24 months of fees paid. $5M cyber-liability certificate naming Acme as loss payee. Mutual carve-outs (uncapped) for gross negligence and IP infringement. 72-hour breach notification.</w:t>
            </w:r>
          </w:p>
        </w:tc>
      </w:tr>
      <w:tr>
        <w:tc>
          <w:tcPr>
            <w:tcW w:type="dxa" w:w="2721"/>
            <w:tcBorders>
              <w:top w:val="single" w:sz="4" w:color="BFC7D1"/>
              <w:left w:val="single" w:sz="4" w:color="BFC7D1"/>
              <w:bottom w:val="single" w:sz="4" w:color="BFC7D1"/>
              <w:right w:val="single" w:sz="4" w:color="BFC7D1"/>
            </w:tcBorders>
            <w:vAlign w:val="center"/>
          </w:tcPr>
          <w:p>
            <w:r/>
            <w:r>
              <w:rPr>
                <w:rFonts w:ascii="Calibri" w:hAnsi="Calibri"/>
                <w:color w:val="3D4A5C"/>
                <w:sz w:val="19"/>
              </w:rPr>
              <w:t>§4.2  4× annual no-notice audits</w:t>
            </w:r>
          </w:p>
        </w:tc>
        <w:tc>
          <w:tcPr>
            <w:tcW w:type="dxa" w:w="1361"/>
            <w:shd w:val="clear" w:color="auto" w:fill="A61F1F"/>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Hard reject</w:t>
            </w:r>
          </w:p>
        </w:tc>
        <w:tc>
          <w:tcPr>
            <w:tcW w:type="dxa" w:w="5443"/>
            <w:tcBorders>
              <w:top w:val="single" w:sz="4" w:color="BFC7D1"/>
              <w:left w:val="single" w:sz="4" w:color="BFC7D1"/>
              <w:bottom w:val="single" w:sz="4" w:color="BFC7D1"/>
              <w:right w:val="single" w:sz="4" w:color="BFC7D1"/>
            </w:tcBorders>
            <w:vAlign w:val="center"/>
          </w:tcPr>
          <w:p>
            <w:r/>
            <w:r>
              <w:rPr>
                <w:rFonts w:ascii="Calibri" w:hAnsi="Calibri"/>
                <w:color w:val="3D4A5C"/>
                <w:sz w:val="19"/>
              </w:rPr>
              <w:t>SOC 2 Type II (annual, independent) + ISO 27001 (continuous) + one scheduled annual customer audit at 30 days' notice at our cost + quarterly joint operational reviews.</w:t>
            </w:r>
          </w:p>
        </w:tc>
      </w:tr>
      <w:tr>
        <w:tc>
          <w:tcPr>
            <w:tcW w:type="dxa" w:w="2721"/>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§4.3  99.99% SLA / terminate on any miss</w:t>
            </w:r>
          </w:p>
        </w:tc>
        <w:tc>
          <w:tcPr>
            <w:tcW w:type="dxa" w:w="1361"/>
            <w:shd w:val="clear" w:color="auto" w:fill="A61F1F"/>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Hard reject</w:t>
            </w:r>
          </w:p>
        </w:tc>
        <w:tc>
          <w:tcPr>
            <w:tcW w:type="dxa" w:w="5443"/>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Accept 99.99% SLA (active-active multi-region as offered). Automatic service credits to 30% of monthly fees. Termination right triggered by three consecutive months of SLA miss.</w:t>
            </w:r>
          </w:p>
        </w:tc>
      </w:tr>
      <w:tr>
        <w:tc>
          <w:tcPr>
            <w:tcW w:type="dxa" w:w="2721"/>
            <w:tcBorders>
              <w:top w:val="single" w:sz="4" w:color="BFC7D1"/>
              <w:left w:val="single" w:sz="4" w:color="BFC7D1"/>
              <w:bottom w:val="single" w:sz="4" w:color="BFC7D1"/>
              <w:right w:val="single" w:sz="4" w:color="BFC7D1"/>
            </w:tcBorders>
            <w:vAlign w:val="center"/>
          </w:tcPr>
          <w:p>
            <w:r/>
            <w:r>
              <w:rPr>
                <w:rFonts w:ascii="Calibri" w:hAnsi="Calibri"/>
                <w:color w:val="3D4A5C"/>
                <w:sz w:val="19"/>
              </w:rPr>
              <w:t>§4.4  All IP vests in Acme</w:t>
            </w:r>
          </w:p>
        </w:tc>
        <w:tc>
          <w:tcPr>
            <w:tcW w:type="dxa" w:w="1361"/>
            <w:shd w:val="clear" w:color="auto" w:fill="A61F1F"/>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Hard reject</w:t>
            </w:r>
          </w:p>
        </w:tc>
        <w:tc>
          <w:tcPr>
            <w:tcW w:type="dxa" w:w="5443"/>
            <w:tcBorders>
              <w:top w:val="single" w:sz="4" w:color="BFC7D1"/>
              <w:left w:val="single" w:sz="4" w:color="BFC7D1"/>
              <w:bottom w:val="single" w:sz="4" w:color="BFC7D1"/>
              <w:right w:val="single" w:sz="4" w:color="BFC7D1"/>
            </w:tcBorders>
            <w:vAlign w:val="center"/>
          </w:tcPr>
          <w:p>
            <w:r/>
            <w:r>
              <w:rPr>
                <w:rFonts w:ascii="Calibri" w:hAnsi="Calibri"/>
                <w:color w:val="3D4A5C"/>
                <w:sz w:val="19"/>
              </w:rPr>
              <w:t>Acme owns all data and configuration outright. Custom developments (dashboards, integrations, templates) owned by BTS-Synthetic and licensed to Acme under a perpetual, royalty-free, irrevocable, transferable licence surviving termination — identical to Stark Industries structure accepted in 2026.</w:t>
            </w:r>
          </w:p>
        </w:tc>
      </w:tr>
      <w:tr>
        <w:tc>
          <w:tcPr>
            <w:tcW w:type="dxa" w:w="2721"/>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§4.5  Sole-discretion subprocessor consent</w:t>
            </w:r>
          </w:p>
        </w:tc>
        <w:tc>
          <w:tcPr>
            <w:tcW w:type="dxa" w:w="1361"/>
            <w:shd w:val="clear" w:color="auto" w:fill="A61F1F"/>
            <w:tcBorders>
              <w:top w:val="single" w:sz="4" w:color="BFC7D1"/>
              <w:left w:val="single" w:sz="4" w:color="BFC7D1"/>
              <w:bottom w:val="single" w:sz="4" w:color="BFC7D1"/>
              <w:right w:val="single" w:sz="4" w:color="BFC7D1"/>
            </w:tcBorders>
            <w:vAlign w:val="center"/>
          </w:tcPr>
          <w:p>
            <w:pPr>
              <w:jc w:val="center"/>
            </w:pPr>
            <w:r/>
            <w:r>
              <w:rPr>
                <w:rFonts w:ascii="Calibri" w:hAnsi="Calibri"/>
                <w:b/>
                <w:color w:val="FFFFFF"/>
                <w:sz w:val="19"/>
              </w:rPr>
              <w:t>Hard reject</w:t>
            </w:r>
          </w:p>
        </w:tc>
        <w:tc>
          <w:tcPr>
            <w:tcW w:type="dxa" w:w="5443"/>
            <w:shd w:val="clear" w:color="auto" w:fill="F3F6FA"/>
            <w:tcBorders>
              <w:top w:val="single" w:sz="4" w:color="BFC7D1"/>
              <w:left w:val="single" w:sz="4" w:color="BFC7D1"/>
              <w:bottom w:val="single" w:sz="4" w:color="BFC7D1"/>
              <w:right w:val="single" w:sz="4" w:color="BFC7D1"/>
            </w:tcBorders>
            <w:vAlign w:val="center"/>
          </w:tcPr>
          <w:p>
            <w:r/>
            <w:r>
              <w:rPr>
                <w:rFonts w:ascii="Calibri" w:hAnsi="Calibri"/>
                <w:color w:val="3D4A5C"/>
                <w:sz w:val="19"/>
              </w:rPr>
              <w:t>Published subprocessor list at signature (hyperscaler named). 30 days' prior written notice of any addition. Acme's right to object with substitution remedy or, if substitution is impossible, right to terminate affected services with pro-rata refund.</w:t>
            </w:r>
          </w:p>
        </w:tc>
      </w:tr>
    </w:tbl>
    <w:p>
      <w:pPr>
        <w:spacing w:after="120" w:line="300" w:lineRule="auto"/>
      </w:pPr>
      <w:r>
        <w:rPr>
          <w:rFonts w:ascii="Calibri" w:hAnsi="Calibri"/>
          <w:b w:val="0"/>
          <w:i w:val="0"/>
          <w:color w:val="3D4A5C"/>
          <w:sz w:val="12"/>
        </w:rPr>
        <w:t xml:space="preserve"> </w:t>
      </w:r>
    </w:p>
    <w:p>
      <w:pPr>
        <w:spacing w:before="280" w:after="120"/>
      </w:pPr>
      <w:r>
        <w:rPr>
          <w:rFonts w:ascii="Calibri" w:hAnsi="Calibri"/>
          <w:b/>
          <w:color w:val="0B1F3A"/>
          <w:sz w:val="27"/>
        </w:rPr>
        <w:t>5.2  The three clauses that must be resolved before signature</w:t>
      </w:r>
    </w:p>
    <w:p>
      <w:pPr>
        <w:pStyle w:val="ListBullet"/>
        <w:spacing w:after="40" w:line="288" w:lineRule="auto"/>
        <w:ind w:left="340"/>
      </w:pPr>
      <w:r>
        <w:rPr>
          <w:rFonts w:ascii="Calibri" w:hAnsi="Calibri"/>
          <w:b/>
          <w:color w:val="0B1F3A"/>
          <w:sz w:val="21"/>
        </w:rPr>
        <w:t>§4.1 Uncapped breach liability.</w:t>
      </w:r>
      <w:r>
        <w:rPr>
          <w:rFonts w:ascii="Calibri" w:hAnsi="Calibri"/>
          <w:color w:val="3D4A5C"/>
          <w:sz w:val="21"/>
        </w:rPr>
        <w:t xml:space="preserve"> No cyber-liability carrier underwrites uncapped exposure. As drafted, the clause would leave Acme with a vendor that has no insurance to draw on in the event of a material breach — reducing, not increasing, Acme's realistic recovery. Our 24-month-fees cap plus $5M cyber policy is the structurally recoverable position.</w:t>
      </w:r>
    </w:p>
    <w:p>
      <w:pPr>
        <w:pStyle w:val="ListBullet"/>
        <w:spacing w:after="40" w:line="288" w:lineRule="auto"/>
        <w:ind w:left="340"/>
      </w:pPr>
      <w:r>
        <w:rPr>
          <w:rFonts w:ascii="Calibri" w:hAnsi="Calibri"/>
          <w:b/>
          <w:color w:val="0B1F3A"/>
          <w:sz w:val="21"/>
        </w:rPr>
        <w:t>§4.4 Full IP vesting.</w:t>
      </w:r>
      <w:r>
        <w:rPr>
          <w:rFonts w:ascii="Calibri" w:hAnsi="Calibri"/>
          <w:color w:val="3D4A5C"/>
          <w:sz w:val="21"/>
        </w:rPr>
        <w:t xml:space="preserve"> Assigning the platform's underlying IP fragments our product across the customer base and destroys the economics of continued platform investment. Acme owns its data and its configuration; a perpetual, royalty-free licence-back of derivative work — as accepted by Stark Industries in 2026 — gives Acme the operational continuity it needs without the structural harm to the platform.</w:t>
      </w:r>
    </w:p>
    <w:p>
      <w:pPr>
        <w:pStyle w:val="ListBullet"/>
        <w:spacing w:after="40" w:line="288" w:lineRule="auto"/>
        <w:ind w:left="340"/>
      </w:pPr>
      <w:r>
        <w:rPr>
          <w:rFonts w:ascii="Calibri" w:hAnsi="Calibri"/>
          <w:b/>
          <w:color w:val="0B1F3A"/>
          <w:sz w:val="21"/>
        </w:rPr>
        <w:t>§4.5 Sole-discretion subprocessor consent.</w:t>
      </w:r>
      <w:r>
        <w:rPr>
          <w:rFonts w:ascii="Calibri" w:hAnsi="Calibri"/>
          <w:color w:val="3D4A5C"/>
          <w:sz w:val="21"/>
        </w:rPr>
        <w:t xml:space="preserve"> Our platform is deployed on Acme's selected hyperscaler (Azure, per this RFP). A consent-at-sole-discretion clause over every subprocessor is a day-one operational block on the very cloud Acme wants us to run in. A named-list-plus-notice-plus-object model is the industry-standard equivalent and preserves Acme's substantive control.</w:t>
      </w:r>
    </w:p>
    <w:p>
      <w:pPr>
        <w:spacing w:before="280" w:after="120"/>
        <w:pBdr>
          <w:bottom w:val="single" w:sz="12" w:space="1" w:color="00889E"/>
        </w:pBdr>
      </w:pPr>
      <w:r>
        <w:rPr>
          <w:rFonts w:ascii="Calibri" w:hAnsi="Calibri"/>
          <w:b/>
          <w:color w:val="0B1F3A"/>
          <w:sz w:val="36"/>
        </w:rPr>
        <w:t>6.  Deal-History Benchmark and Deviations</w:t>
      </w:r>
    </w:p>
    <w:p>
      <w:pPr>
        <w:spacing w:after="120" w:line="300" w:lineRule="auto"/>
      </w:pPr>
      <w:r>
        <w:rPr>
          <w:rFonts w:ascii="Calibri" w:hAnsi="Calibri"/>
          <w:b w:val="0"/>
          <w:i w:val="0"/>
          <w:color w:val="3D4A5C"/>
          <w:sz w:val="21"/>
        </w:rPr>
        <w:t>We have delivered platforms of this shape before. The closest precedents are Initech Sensors (industrial IoT, near-identical workload profile) and Stark Industries (which sets the legal envelope for the IP, subprocessor and liability clauses Acme is asking about). The table below anchors Acme's asks against the actual accepted terms of our three closest comparables.</w:t>
      </w:r>
    </w:p>
    <w:p>
      <w:pPr>
        <w:spacing w:before="280" w:after="120"/>
      </w:pPr>
      <w:r>
        <w:rPr>
          <w:rFonts w:ascii="Calibri" w:hAnsi="Calibri"/>
          <w:b/>
          <w:color w:val="0B1F3A"/>
          <w:sz w:val="27"/>
        </w:rPr>
        <w:t>6.1  Acme vs. our closest comparables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2041"/>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Dimension</w:t>
            </w:r>
          </w:p>
        </w:tc>
        <w:tc>
          <w:tcPr>
            <w:tcW w:type="dxa" w:w="1814"/>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Initech Sensors</w:t>
            </w:r>
          </w:p>
        </w:tc>
        <w:tc>
          <w:tcPr>
            <w:tcW w:type="dxa" w:w="2041"/>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Stark Industries</w:t>
            </w:r>
          </w:p>
        </w:tc>
        <w:tc>
          <w:tcPr>
            <w:tcW w:type="dxa" w:w="1928"/>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Globex Manufacturing</w:t>
            </w:r>
          </w:p>
        </w:tc>
        <w:tc>
          <w:tcPr>
            <w:tcW w:type="dxa" w:w="1928"/>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Acme Corp</w:t>
            </w:r>
          </w:p>
        </w:tc>
      </w:tr>
      <w:tr>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ACV</w:t>
            </w:r>
          </w:p>
        </w:tc>
        <w:tc>
          <w:tcPr>
            <w:tcW w:type="dxa" w:w="181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$420K</w:t>
            </w:r>
          </w:p>
        </w:tc>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$1.1M</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$580K</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~$1.09M (offer)</w:t>
            </w:r>
          </w:p>
        </w:tc>
      </w:tr>
      <w:tr>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Term</w:t>
            </w:r>
          </w:p>
        </w:tc>
        <w:tc>
          <w:tcPr>
            <w:tcW w:type="dxa" w:w="181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 years</w:t>
            </w:r>
          </w:p>
        </w:tc>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5 years</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3 years</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3 + 2 renewal</w:t>
            </w:r>
          </w:p>
        </w:tc>
      </w:tr>
      <w:tr>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Discount</w:t>
            </w:r>
          </w:p>
        </w:tc>
        <w:tc>
          <w:tcPr>
            <w:tcW w:type="dxa" w:w="181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15%</w:t>
            </w:r>
          </w:p>
        </w:tc>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28%</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18%</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25% (offer) vs. 35% ask</w:t>
            </w:r>
          </w:p>
        </w:tc>
      </w:tr>
      <w:tr>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Payment</w:t>
            </w:r>
          </w:p>
        </w:tc>
        <w:tc>
          <w:tcPr>
            <w:tcW w:type="dxa" w:w="181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Annual / Net 60</w:t>
            </w:r>
          </w:p>
        </w:tc>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Annual / Net 30</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Annual / Net 30</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Annual / Net 60 (offer) vs. Net 90 ask</w:t>
            </w:r>
          </w:p>
        </w:tc>
      </w:tr>
      <w:tr>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SLA</w:t>
            </w:r>
          </w:p>
        </w:tc>
        <w:tc>
          <w:tcPr>
            <w:tcW w:type="dxa" w:w="181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99.95%</w:t>
            </w:r>
          </w:p>
        </w:tc>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99.95%</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99.95%</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99.99% (offer) vs. 99.99% ask</w:t>
            </w:r>
          </w:p>
        </w:tc>
      </w:tr>
      <w:tr>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Liability cap</w:t>
            </w:r>
          </w:p>
        </w:tc>
        <w:tc>
          <w:tcPr>
            <w:tcW w:type="dxa" w:w="181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12-month fees</w:t>
            </w:r>
          </w:p>
        </w:tc>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24-month fees</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12-month fees</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24-month fees (offer) vs. uncapped ask</w:t>
            </w:r>
          </w:p>
        </w:tc>
      </w:tr>
      <w:tr>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IP model</w:t>
            </w:r>
          </w:p>
        </w:tc>
        <w:tc>
          <w:tcPr>
            <w:tcW w:type="dxa" w:w="181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Standard licence</w:t>
            </w:r>
          </w:p>
        </w:tc>
        <w:tc>
          <w:tcPr>
            <w:tcW w:type="dxa" w:w="2041"/>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Licence-back of derivatives</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Standard licence</w:t>
            </w:r>
          </w:p>
        </w:tc>
        <w:tc>
          <w:tcPr>
            <w:tcW w:type="dxa" w:w="192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Licence-back (offer) vs. full assignment ask</w:t>
            </w:r>
          </w:p>
        </w:tc>
      </w:tr>
      <w:tr>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Primary competitor won against</w:t>
            </w:r>
          </w:p>
        </w:tc>
        <w:tc>
          <w:tcPr>
            <w:tcW w:type="dxa" w:w="181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Microsoft Fabric</w:t>
            </w:r>
          </w:p>
        </w:tc>
        <w:tc>
          <w:tcPr>
            <w:tcW w:type="dxa" w:w="2041"/>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Databricks + Snowflake + Fabric</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Snowflake + Databricks</w:t>
            </w:r>
          </w:p>
        </w:tc>
        <w:tc>
          <w:tcPr>
            <w:tcW w:type="dxa" w:w="192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Fabric + Databricks + Snowflake</w:t>
            </w:r>
          </w:p>
        </w:tc>
      </w:tr>
    </w:tbl>
    <w:p>
      <w:pPr>
        <w:spacing w:after="120" w:line="300" w:lineRule="auto"/>
      </w:pPr>
      <w:r>
        <w:rPr>
          <w:rFonts w:ascii="Calibri" w:hAnsi="Calibri"/>
          <w:b w:val="0"/>
          <w:i w:val="0"/>
          <w:color w:val="3D4A5C"/>
          <w:sz w:val="12"/>
        </w:rPr>
        <w:t xml:space="preserve"> </w:t>
      </w:r>
    </w:p>
    <w:p>
      <w:pPr>
        <w:spacing w:before="280" w:after="120"/>
      </w:pPr>
      <w:r>
        <w:rPr>
          <w:rFonts w:ascii="Calibri" w:hAnsi="Calibri"/>
          <w:b/>
          <w:color w:val="0B1F3A"/>
          <w:sz w:val="27"/>
        </w:rPr>
        <w:t>6.2  Where Acme is asking outside our accepted envelope</w:t>
      </w:r>
    </w:p>
    <w:p>
      <w:pPr>
        <w:pStyle w:val="ListBullet"/>
        <w:spacing w:after="40" w:line="288" w:lineRule="auto"/>
        <w:ind w:left="340"/>
      </w:pPr>
      <w:r>
        <w:rPr>
          <w:rFonts w:ascii="Calibri" w:hAnsi="Calibri"/>
          <w:b/>
          <w:color w:val="0B1F3A"/>
          <w:sz w:val="21"/>
        </w:rPr>
        <w:t>Uncapped breach liability.</w:t>
      </w:r>
      <w:r>
        <w:rPr>
          <w:rFonts w:ascii="Calibri" w:hAnsi="Calibri"/>
          <w:color w:val="3D4A5C"/>
          <w:sz w:val="21"/>
        </w:rPr>
        <w:t xml:space="preserve"> No prior close. Existential exposure. Addressed by §5.2 above.</w:t>
      </w:r>
    </w:p>
    <w:p>
      <w:pPr>
        <w:pStyle w:val="ListBullet"/>
        <w:spacing w:after="40" w:line="288" w:lineRule="auto"/>
        <w:ind w:left="340"/>
      </w:pPr>
      <w:r>
        <w:rPr>
          <w:rFonts w:ascii="Calibri" w:hAnsi="Calibri"/>
          <w:b/>
          <w:color w:val="0B1F3A"/>
          <w:sz w:val="21"/>
        </w:rPr>
        <w:t>Full IP vesting.</w:t>
      </w:r>
      <w:r>
        <w:rPr>
          <w:rFonts w:ascii="Calibri" w:hAnsi="Calibri"/>
          <w:color w:val="3D4A5C"/>
          <w:sz w:val="21"/>
        </w:rPr>
        <w:t xml:space="preserve"> Stark asked for this; we declined and closed on the licence-back model. Same position offered here.</w:t>
      </w:r>
    </w:p>
    <w:p>
      <w:pPr>
        <w:pStyle w:val="ListBullet"/>
        <w:spacing w:after="40" w:line="288" w:lineRule="auto"/>
        <w:ind w:left="340"/>
      </w:pPr>
      <w:r>
        <w:rPr>
          <w:rFonts w:ascii="Calibri" w:hAnsi="Calibri"/>
          <w:b/>
          <w:color w:val="0B1F3A"/>
          <w:sz w:val="21"/>
        </w:rPr>
        <w:t>35% discount.</w:t>
      </w:r>
      <w:r>
        <w:rPr>
          <w:rFonts w:ascii="Calibri" w:hAnsi="Calibri"/>
          <w:color w:val="3D4A5C"/>
          <w:sz w:val="21"/>
        </w:rPr>
        <w:t xml:space="preserve"> 7 points above Stark, the largest and deepest deal we have ever closed. We open at 25% and hold on TCO.</w:t>
      </w:r>
    </w:p>
    <w:p>
      <w:pPr>
        <w:pStyle w:val="ListBullet"/>
        <w:spacing w:after="40" w:line="288" w:lineRule="auto"/>
        <w:ind w:left="340"/>
      </w:pPr>
      <w:r>
        <w:rPr>
          <w:rFonts w:ascii="Calibri" w:hAnsi="Calibri"/>
          <w:b/>
          <w:color w:val="0B1F3A"/>
          <w:sz w:val="21"/>
        </w:rPr>
        <w:t>99.99% SLA with termination on any miss.</w:t>
      </w:r>
      <w:r>
        <w:rPr>
          <w:rFonts w:ascii="Calibri" w:hAnsi="Calibri"/>
          <w:color w:val="3D4A5C"/>
          <w:sz w:val="21"/>
        </w:rPr>
        <w:t xml:space="preserve"> SLA credits are standard; immediate-termination-on-any-miss has no precedent. Counter is three-consecutive-month trigger, credits automatic.</w:t>
      </w:r>
    </w:p>
    <w:p>
      <w:pPr>
        <w:pStyle w:val="ListBullet"/>
        <w:spacing w:after="40" w:line="288" w:lineRule="auto"/>
        <w:ind w:left="340"/>
      </w:pPr>
      <w:r>
        <w:rPr>
          <w:rFonts w:ascii="Calibri" w:hAnsi="Calibri"/>
          <w:b/>
          <w:color w:val="0B1F3A"/>
          <w:sz w:val="21"/>
        </w:rPr>
        <w:t>Net 90 payment.</w:t>
      </w:r>
      <w:r>
        <w:rPr>
          <w:rFonts w:ascii="Calibri" w:hAnsi="Calibri"/>
          <w:color w:val="3D4A5C"/>
          <w:sz w:val="21"/>
        </w:rPr>
        <w:t xml:space="preserve"> Net 60 was the ceiling (Initech). Net 90 imposes real carrying cost; we counter at Net 60 without rate adjustment.</w:t>
      </w:r>
    </w:p>
    <w:p>
      <w:pPr>
        <w:pStyle w:val="ListBullet"/>
        <w:spacing w:after="40" w:line="288" w:lineRule="auto"/>
        <w:ind w:left="340"/>
      </w:pPr>
      <w:r>
        <w:rPr>
          <w:rFonts w:ascii="Calibri" w:hAnsi="Calibri"/>
          <w:b/>
          <w:color w:val="0B1F3A"/>
          <w:sz w:val="21"/>
        </w:rPr>
        <w:t>Combined operational leverage clauses.</w:t>
      </w:r>
      <w:r>
        <w:rPr>
          <w:rFonts w:ascii="Calibri" w:hAnsi="Calibri"/>
          <w:color w:val="3D4A5C"/>
          <w:sz w:val="21"/>
        </w:rPr>
        <w:t xml:space="preserve"> 4× no-notice audits, sole-discretion subprocessor consent, 30-day termination-for-convenience — individually manageable, collectively unprecedented. Countered as a package in §5.</w:t>
      </w:r>
    </w:p>
    <w:tbl>
      <w:tblPr>
        <w:tblW w:type="auto" w:w="0"/>
        <w:jc w:val="center"/>
        <w:tblLayout w:type="fixed"/>
        <w:tblLook w:firstColumn="1" w:firstRow="1" w:lastColumn="0" w:lastRow="0" w:noHBand="0" w:noVBand="1" w:val="04A0"/>
      </w:tblPr>
      <w:tblGrid>
        <w:gridCol w:w="9746"/>
      </w:tblGrid>
      <w:tr>
        <w:tc>
          <w:tcPr>
            <w:tcW w:type="dxa" w:w="9071"/>
            <w:shd w:val="clear" w:color="auto" w:fill="E8EEF3"/>
            <w:tcBorders>
              <w:left w:val="single" w:sz="24" w:color="008C9E"/>
              <w:top w:val="single" w:sz="4" w:color="DFE5EC"/>
              <w:bottom w:val="single" w:sz="4" w:color="DFE5EC"/>
              <w:right w:val="single" w:sz="4" w:color="DFE5EC"/>
            </w:tcBorders>
          </w:tcPr>
          <w:p>
            <w:pPr>
              <w:spacing w:after="60"/>
            </w:pPr>
            <w:r/>
            <w:r>
              <w:rPr>
                <w:rFonts w:ascii="Calibri" w:hAnsi="Calibri"/>
                <w:b/>
                <w:color w:val="0B1F3A"/>
                <w:sz w:val="21"/>
              </w:rPr>
              <w:t>Precedents Acme should know about</w:t>
            </w:r>
          </w:p>
          <w:p>
            <w:pPr>
              <w:spacing w:after="40" w:line="300" w:lineRule="auto"/>
            </w:pPr>
            <w:r>
              <w:rPr>
                <w:rFonts w:ascii="Calibri" w:hAnsi="Calibri"/>
                <w:color w:val="3D4A5C"/>
                <w:sz w:val="20"/>
              </w:rPr>
              <w:t>The two precedents we lean on most directly are Initech Sensors (near-identical industrial-IoT workload profile — we won against Microsoft Fabric on real-time SLA and governance maturity) and Stark Industries (the reference model for IP licence-back, subprocessor treatment and liability cap). Both are available as references, subject to their prior consent.</w:t>
            </w:r>
          </w:p>
        </w:tc>
      </w:tr>
    </w:tbl>
    <w:p/>
    <w:p>
      <w:pPr>
        <w:spacing w:before="280" w:after="120"/>
        <w:pBdr>
          <w:bottom w:val="single" w:sz="12" w:space="1" w:color="00889E"/>
        </w:pBdr>
      </w:pPr>
      <w:r>
        <w:rPr>
          <w:rFonts w:ascii="Calibri" w:hAnsi="Calibri"/>
          <w:b/>
          <w:color w:val="0B1F3A"/>
          <w:sz w:val="36"/>
        </w:rPr>
        <w:t>7.  Risks and How We Mitigate Them</w:t>
      </w:r>
    </w:p>
    <w:tbl>
      <w:tblPr>
        <w:tblW w:type="auto" w:w="0"/>
        <w:jc w:val="center"/>
        <w:tblLayout w:type="fixed"/>
        <w:tblLook w:firstColumn="1" w:firstRow="1" w:lastColumn="0" w:lastRow="0" w:noHBand="0" w:noVBand="1" w:val="04A0"/>
      </w:tblPr>
      <w:tblGrid>
        <w:gridCol w:w="3249"/>
        <w:gridCol w:w="3249"/>
        <w:gridCol w:w="3249"/>
      </w:tblGrid>
      <w:tr>
        <w:tc>
          <w:tcPr>
            <w:tcW w:type="dxa" w:w="3118"/>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Risk</w:t>
            </w:r>
          </w:p>
        </w:tc>
        <w:tc>
          <w:tcPr>
            <w:tcW w:type="dxa" w:w="1247"/>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Level</w:t>
            </w:r>
          </w:p>
        </w:tc>
        <w:tc>
          <w:tcPr>
            <w:tcW w:type="dxa" w:w="5159"/>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Mitigation</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99.99% SLA is a partial fit on our standard tier</w:t>
            </w:r>
          </w:p>
        </w:tc>
        <w:tc>
          <w:tcPr>
            <w:tcW w:type="dxa" w:w="1247"/>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Medium</w:t>
            </w:r>
          </w:p>
        </w:tc>
        <w:tc>
          <w:tcPr>
            <w:tcW w:type="dxa" w:w="5159"/>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Bundle the 99.99% active-active multi-region tier into this proposal — no incremental line-item. Contractual credits to 30% of monthly fees. Termination triggered only on three consecutive monthly misses.</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Multi-year firm-price absorbs CPI risk (~12–15% over 5 years)</w:t>
            </w:r>
          </w:p>
        </w:tc>
        <w:tc>
          <w:tcPr>
            <w:tcW w:type="dxa" w:w="1247"/>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Medium</w:t>
            </w:r>
          </w:p>
        </w:tc>
        <w:tc>
          <w:tcPr>
            <w:tcW w:type="dxa" w:w="5159"/>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Priced into the 25% headline discount rather than layered on top. Optional CPI cap of 3% in years 4–5, triggered only if infrastructure costs rise &gt;5% in any 12-month period, offers Acme a further hedge without exposing either side.</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Uncapped breach liability as drafted is uninsurable</w:t>
            </w:r>
          </w:p>
        </w:tc>
        <w:tc>
          <w:tcPr>
            <w:tcW w:type="dxa" w:w="1247"/>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High (if not resolved)</w:t>
            </w:r>
          </w:p>
        </w:tc>
        <w:tc>
          <w:tcPr>
            <w:tcW w:type="dxa" w:w="5159"/>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24-month-fees liability cap plus $5M dedicated cyber policy naming Acme as loss payee. Uncapped mutual carve-outs for gross negligence and IP infringement. 72-hour breach notification and full forensic co-operation included.</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Full IP vesting would fragment platform investment</w:t>
            </w:r>
          </w:p>
        </w:tc>
        <w:tc>
          <w:tcPr>
            <w:tcW w:type="dxa" w:w="1247"/>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High (if not resolved)</w:t>
            </w:r>
          </w:p>
        </w:tc>
        <w:tc>
          <w:tcPr>
            <w:tcW w:type="dxa" w:w="5159"/>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Acme owns all data and all configuration. Custom developments licensed under Stark-model perpetual, royalty-free, irrevocable, transferable licence that survives termination. Full portability guaranteed via open formats (Parquet, Delta, Iceberg).</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Sole-discretion subprocessor consent blocks hyperscaler operation</w:t>
            </w:r>
          </w:p>
        </w:tc>
        <w:tc>
          <w:tcPr>
            <w:tcW w:type="dxa" w:w="1247"/>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High (if not resolved)</w:t>
            </w:r>
          </w:p>
        </w:tc>
        <w:tc>
          <w:tcPr>
            <w:tcW w:type="dxa" w:w="5159"/>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Published subprocessor list at signature with hyperscaler named. 30 days' prior notice of change. Substitution or pro-rata terminate-affected-services remedy on Acme's objection.</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Competitor discounting pressure (Databricks 40%, Fabric "free with E5")</w:t>
            </w:r>
          </w:p>
        </w:tc>
        <w:tc>
          <w:tcPr>
            <w:tcW w:type="dxa" w:w="1247"/>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Medium</w:t>
            </w:r>
          </w:p>
        </w:tc>
        <w:tc>
          <w:tcPr>
            <w:tcW w:type="dxa" w:w="5159"/>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Do not chase headline discount. Reframe evaluation on 5-year TCO (Databricks compute-creep at Acme's 12 TB/month growth; Fabric consulting and lock-in-exit costs in years 2–5). Initech Sensors is a directly relevant proof point vs. Fabric on the real-time SLA gap.</w:t>
            </w:r>
          </w:p>
        </w:tc>
      </w:tr>
      <w:tr>
        <w:tc>
          <w:tcPr>
            <w:tcW w:type="dxa" w:w="3118"/>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Teradata migration schedule risk across 3 manufacturing regions and 30+ sources</w:t>
            </w:r>
          </w:p>
        </w:tc>
        <w:tc>
          <w:tcPr>
            <w:tcW w:type="dxa" w:w="1247"/>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Medium</w:t>
            </w:r>
          </w:p>
        </w:tc>
        <w:tc>
          <w:tcPr>
            <w:tcW w:type="dxa" w:w="5159"/>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Debezium-compatible CDC for zero-downtime cutover. 16-week baseline plus 4-week buffer for source-by-source validation. Joint quarterly architecture reviews with Acme's CDO. Rollback via open-format storage at any milestone.</w:t>
            </w:r>
          </w:p>
        </w:tc>
      </w:tr>
      <w:tr>
        <w:tc>
          <w:tcPr>
            <w:tcW w:type="dxa" w:w="3118"/>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Sub-100 ms streaming query latency not in our capability today</w:t>
            </w:r>
          </w:p>
        </w:tc>
        <w:tc>
          <w:tcPr>
            <w:tcW w:type="dxa" w:w="1247"/>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Low (out of stated scope)</w:t>
            </w:r>
          </w:p>
        </w:tc>
        <w:tc>
          <w:tcPr>
            <w:tcW w:type="dxa" w:w="5159"/>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Adequate for the IoT dashboarding and predictive-maintenance workloads described in the RFP. Flagged transparently. Edge-layer component recommended if future workloads require true machine-speed alerting.</w:t>
            </w:r>
          </w:p>
        </w:tc>
      </w:tr>
    </w:tbl>
    <w:p>
      <w:pPr>
        <w:spacing w:before="280" w:after="120"/>
        <w:pBdr>
          <w:bottom w:val="single" w:sz="12" w:space="1" w:color="00889E"/>
        </w:pBdr>
      </w:pPr>
      <w:r>
        <w:rPr>
          <w:rFonts w:ascii="Calibri" w:hAnsi="Calibri"/>
          <w:b/>
          <w:color w:val="0B1F3A"/>
          <w:sz w:val="36"/>
        </w:rPr>
        <w:t>8.  Implementation and Next Steps</w:t>
      </w:r>
    </w:p>
    <w:p>
      <w:pPr>
        <w:spacing w:after="120" w:line="300" w:lineRule="auto"/>
      </w:pPr>
      <w:r>
        <w:rPr>
          <w:rFonts w:ascii="Calibri" w:hAnsi="Calibri"/>
          <w:b w:val="0"/>
          <w:i w:val="0"/>
          <w:color w:val="3D4A5C"/>
          <w:sz w:val="21"/>
        </w:rPr>
        <w:t>Our recommended path is a phased implementation matched to Acme's 2027 Teradata decommission commitment, with the first production workload live in week 10.</w:t>
      </w:r>
    </w:p>
    <w:tbl>
      <w:tblPr>
        <w:tblW w:type="auto" w:w="0"/>
        <w:jc w:val="center"/>
        <w:tblLayout w:type="fixed"/>
        <w:tblLook w:firstColumn="1" w:firstRow="1" w:lastColumn="0" w:lastRow="0" w:noHBand="0" w:noVBand="1" w:val="04A0"/>
      </w:tblPr>
      <w:tblGrid>
        <w:gridCol w:w="4873"/>
        <w:gridCol w:w="4873"/>
      </w:tblGrid>
      <w:tr>
        <w:tc>
          <w:tcPr>
            <w:tcW w:type="dxa" w:w="1814"/>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Phase</w:t>
            </w:r>
          </w:p>
        </w:tc>
        <w:tc>
          <w:tcPr>
            <w:tcW w:type="dxa" w:w="7654"/>
            <w:shd w:val="clear" w:color="auto" w:fill="0B1F3A"/>
            <w:tcBorders>
              <w:top w:val="single" w:sz="6" w:color="0B1F3A"/>
              <w:left w:val="single" w:sz="6" w:color="0B1F3A"/>
              <w:bottom w:val="single" w:sz="6" w:color="0B1F3A"/>
              <w:right w:val="single" w:sz="6" w:color="0B1F3A"/>
            </w:tcBorders>
            <w:vAlign w:val="center"/>
          </w:tcPr>
          <w:p>
            <w:pPr>
              <w:spacing w:after="40" w:before="40"/>
            </w:pPr>
            <w:r/>
            <w:r>
              <w:rPr>
                <w:rFonts w:ascii="Calibri" w:hAnsi="Calibri"/>
                <w:b/>
                <w:color w:val="FFFFFF"/>
                <w:sz w:val="20"/>
              </w:rPr>
              <w:t>Milestone</w:t>
            </w:r>
          </w:p>
        </w:tc>
      </w:tr>
      <w:tr>
        <w:tc>
          <w:tcPr>
            <w:tcW w:type="dxa" w:w="181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Weeks 1–2</w:t>
            </w:r>
          </w:p>
        </w:tc>
        <w:tc>
          <w:tcPr>
            <w:tcW w:type="dxa" w:w="765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Contract execution, joint architecture kick-off, EU residency policy configuration</w:t>
            </w:r>
          </w:p>
        </w:tc>
      </w:tr>
      <w:tr>
        <w:tc>
          <w:tcPr>
            <w:tcW w:type="dxa" w:w="181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Weeks 3–6</w:t>
            </w:r>
          </w:p>
        </w:tc>
        <w:tc>
          <w:tcPr>
            <w:tcW w:type="dxa" w:w="765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Azure landing zone (EU + US East), active-active multi-region, IAM and governance setup</w:t>
            </w:r>
          </w:p>
        </w:tc>
      </w:tr>
      <w:tr>
        <w:tc>
          <w:tcPr>
            <w:tcW w:type="dxa" w:w="181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Weeks 7–10</w:t>
            </w:r>
          </w:p>
        </w:tc>
        <w:tc>
          <w:tcPr>
            <w:tcW w:type="dxa" w:w="765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First production workload live: Power BI DirectQuery for existing analyst cohort</w:t>
            </w:r>
          </w:p>
        </w:tc>
      </w:tr>
      <w:tr>
        <w:tc>
          <w:tcPr>
            <w:tcW w:type="dxa" w:w="181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Weeks 11–16</w:t>
            </w:r>
          </w:p>
        </w:tc>
        <w:tc>
          <w:tcPr>
            <w:tcW w:type="dxa" w:w="765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Real-time IoT ingest pipeline commissioned; 40K devices onboarded in waves</w:t>
            </w:r>
          </w:p>
        </w:tc>
      </w:tr>
      <w:tr>
        <w:tc>
          <w:tcPr>
            <w:tcW w:type="dxa" w:w="181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Weeks 17–20</w:t>
            </w:r>
          </w:p>
        </w:tc>
        <w:tc>
          <w:tcPr>
            <w:tcW w:type="dxa" w:w="7654"/>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Teradata source cutover complete; 30+ batch ETL sources validated; parallel-run sign-off</w:t>
            </w:r>
          </w:p>
        </w:tc>
      </w:tr>
      <w:tr>
        <w:tc>
          <w:tcPr>
            <w:tcW w:type="dxa" w:w="181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Weeks 21+</w:t>
            </w:r>
          </w:p>
        </w:tc>
        <w:tc>
          <w:tcPr>
            <w:tcW w:type="dxa" w:w="7654"/>
            <w:shd w:val="clear" w:color="auto" w:fill="F3F6FA"/>
            <w:tcBorders>
              <w:top w:val="single" w:sz="4" w:color="BFC7D1"/>
              <w:left w:val="single" w:sz="4" w:color="BFC7D1"/>
              <w:bottom w:val="single" w:sz="4" w:color="BFC7D1"/>
              <w:right w:val="single" w:sz="4" w:color="BFC7D1"/>
            </w:tcBorders>
            <w:vAlign w:val="center"/>
          </w:tcPr>
          <w:p>
            <w:pPr>
              <w:spacing w:after="20" w:before="20"/>
            </w:pPr>
            <w:r/>
            <w:r>
              <w:rPr>
                <w:rFonts w:ascii="Calibri" w:hAnsi="Calibri"/>
                <w:color w:val="3D4A5C"/>
                <w:sz w:val="19"/>
              </w:rPr>
              <w:t>ML pipelines for predictive maintenance; ongoing quarterly joint architecture reviews</w:t>
            </w:r>
          </w:p>
        </w:tc>
      </w:tr>
    </w:tbl>
    <w:p>
      <w:pPr>
        <w:spacing w:after="120" w:line="300" w:lineRule="auto"/>
      </w:pPr>
      <w:r>
        <w:rPr>
          <w:rFonts w:ascii="Calibri" w:hAnsi="Calibri"/>
          <w:b w:val="0"/>
          <w:i w:val="0"/>
          <w:color w:val="3D4A5C"/>
          <w:sz w:val="12"/>
        </w:rPr>
        <w:t xml:space="preserve"> </w:t>
      </w:r>
    </w:p>
    <w:p>
      <w:pPr>
        <w:spacing w:before="280" w:after="120"/>
      </w:pPr>
      <w:r>
        <w:rPr>
          <w:rFonts w:ascii="Calibri" w:hAnsi="Calibri"/>
          <w:b/>
          <w:color w:val="0B1F3A"/>
          <w:sz w:val="27"/>
        </w:rPr>
        <w:t>Proposed next steps</w:t>
      </w:r>
    </w:p>
    <w:p>
      <w:pPr>
        <w:pStyle w:val="ListBullet"/>
        <w:spacing w:after="40" w:line="288" w:lineRule="auto"/>
        <w:ind w:left="340"/>
      </w:pPr>
      <w:r>
        <w:rPr>
          <w:rFonts w:ascii="Calibri" w:hAnsi="Calibri"/>
          <w:b/>
          <w:color w:val="0B1F3A"/>
          <w:sz w:val="21"/>
        </w:rPr>
        <w:t>Technical deep-dive (2 hours, joint working session).</w:t>
      </w:r>
      <w:r>
        <w:rPr>
          <w:rFonts w:ascii="Calibri" w:hAnsi="Calibri"/>
          <w:color w:val="3D4A5C"/>
          <w:sz w:val="21"/>
        </w:rPr>
        <w:t xml:space="preserve"> Live demonstration of Power BI DirectQuery, per-table EU residency policy, and the real-time ingest pipeline at 80K events/sec on a mirrored Acme workload profile.</w:t>
      </w:r>
    </w:p>
    <w:p>
      <w:pPr>
        <w:pStyle w:val="ListBullet"/>
        <w:spacing w:after="40" w:line="288" w:lineRule="auto"/>
        <w:ind w:left="340"/>
      </w:pPr>
      <w:r>
        <w:rPr>
          <w:rFonts w:ascii="Calibri" w:hAnsi="Calibri"/>
          <w:b/>
          <w:color w:val="0B1F3A"/>
          <w:sz w:val="21"/>
        </w:rPr>
        <w:t>Commercial and contract working session.</w:t>
      </w:r>
      <w:r>
        <w:rPr>
          <w:rFonts w:ascii="Calibri" w:hAnsi="Calibri"/>
          <w:color w:val="3D4A5C"/>
          <w:sz w:val="21"/>
        </w:rPr>
        <w:t xml:space="preserve"> Line-by-line walkthrough of the §5 counter-positions with Acme's procurement and legal counsel. Our objective is a signable MSA framework within two working sessions.</w:t>
      </w:r>
    </w:p>
    <w:p>
      <w:pPr>
        <w:pStyle w:val="ListBullet"/>
        <w:spacing w:after="40" w:line="288" w:lineRule="auto"/>
        <w:ind w:left="340"/>
      </w:pPr>
      <w:r>
        <w:rPr>
          <w:rFonts w:ascii="Calibri" w:hAnsi="Calibri"/>
          <w:b/>
          <w:color w:val="0B1F3A"/>
          <w:sz w:val="21"/>
        </w:rPr>
        <w:t>Reference conversations.</w:t>
      </w:r>
      <w:r>
        <w:rPr>
          <w:rFonts w:ascii="Calibri" w:hAnsi="Calibri"/>
          <w:color w:val="3D4A5C"/>
          <w:sz w:val="21"/>
        </w:rPr>
        <w:t xml:space="preserve"> Introductions to Initech Sensors (industrial-IoT operational reference) and, subject to consent, Stark Industries (contractual precedent reference).</w:t>
      </w:r>
    </w:p>
    <w:p>
      <w:pPr>
        <w:spacing w:before="280" w:after="120"/>
        <w:pBdr>
          <w:bottom w:val="single" w:sz="12" w:space="1" w:color="00889E"/>
        </w:pBdr>
      </w:pPr>
      <w:r>
        <w:rPr>
          <w:rFonts w:ascii="Calibri" w:hAnsi="Calibri"/>
          <w:b/>
          <w:color w:val="0B1F3A"/>
          <w:sz w:val="36"/>
        </w:rPr>
        <w:t>9.  Close</w:t>
      </w:r>
    </w:p>
    <w:p>
      <w:pPr>
        <w:spacing w:after="120" w:line="300" w:lineRule="auto"/>
      </w:pPr>
      <w:r>
        <w:rPr>
          <w:rFonts w:ascii="Calibri" w:hAnsi="Calibri"/>
          <w:b w:val="0"/>
          <w:i w:val="0"/>
          <w:color w:val="3D4A5C"/>
          <w:sz w:val="21"/>
        </w:rPr>
        <w:t>BTS-Synthetic wants this partnership. The platform is a fit, the commercial is fair for a strategic account of Acme's scale, and the contractual counter-positions are grounded in precedent we have already negotiated to close. We are ready to move to the technical deep-dive and commercial working session immediately on Acme's signal, well inside the 2026-06-30 award window.</w:t>
      </w:r>
    </w:p>
    <w:p>
      <w:pPr>
        <w:spacing w:after="120" w:line="300" w:lineRule="auto"/>
      </w:pPr>
      <w:r>
        <w:rPr>
          <w:rFonts w:ascii="Calibri" w:hAnsi="Calibri"/>
          <w:b w:val="0"/>
          <w:i w:val="0"/>
          <w:color w:val="3D4A5C"/>
          <w:sz w:val="12"/>
        </w:rPr>
        <w:t xml:space="preserve"> </w:t>
      </w:r>
    </w:p>
    <w:p>
      <w:r>
        <w:rPr>
          <w:rFonts w:ascii="Calibri" w:hAnsi="Calibri"/>
          <w:b/>
          <w:color w:val="0B1F3A"/>
          <w:sz w:val="22"/>
        </w:rPr>
        <w:t>For questions or the technical / commercial deep-dive:</w:t>
      </w:r>
    </w:p>
    <w:p>
      <w:pPr>
        <w:spacing w:after="0" w:line="300" w:lineRule="auto"/>
      </w:pPr>
      <w:r>
        <w:rPr>
          <w:rFonts w:ascii="Calibri" w:hAnsi="Calibri"/>
          <w:b/>
          <w:i w:val="0"/>
          <w:color w:val="0B1F3A"/>
          <w:sz w:val="21"/>
        </w:rPr>
        <w:t>BTS-Synthetic Deal Desk</w:t>
      </w:r>
    </w:p>
    <w:p>
      <w:pPr>
        <w:spacing w:after="0" w:line="300" w:lineRule="auto"/>
      </w:pPr>
      <w:r>
        <w:rPr>
          <w:rFonts w:ascii="Calibri" w:hAnsi="Calibri"/>
          <w:b w:val="0"/>
          <w:i/>
          <w:color w:val="3D4A5C"/>
          <w:sz w:val="21"/>
        </w:rPr>
        <w:t>deal-desk@bts-synthetic.example</w:t>
      </w:r>
    </w:p>
    <w:p>
      <w:pPr>
        <w:spacing w:after="120" w:line="300" w:lineRule="auto"/>
      </w:pPr>
      <w:r>
        <w:rPr>
          <w:rFonts w:ascii="Calibri" w:hAnsi="Calibri"/>
          <w:b w:val="0"/>
          <w:i/>
          <w:color w:val="3D4A5C"/>
          <w:sz w:val="21"/>
        </w:rPr>
        <w:t>Response reference: RFP-ACME-2026-05-22</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Calibri" w:hAnsi="Calibri"/>
        <w:i/>
        <w:color w:val="3D4A5C"/>
        <w:sz w:val="17"/>
      </w:rPr>
      <w:t>BTS-Synthetic  ·  Response to Acme Corp RFP  ·  2026-05-22</w:t>
    </w:r>
    <w:r>
      <w:rPr>
        <w:sz w:val="17"/>
      </w:rPr>
      <w:tab/>
    </w:r>
    <w:r>
      <w:rPr>
        <w:rFonts w:ascii="Calibri" w:hAnsi="Calibri"/>
        <w:color w:val="3D4A5C"/>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00889E"/>
      </w:pBdr>
    </w:pPr>
    <w:r>
      <w:rPr>
        <w:rFonts w:ascii="Calibri" w:hAnsi="Calibri"/>
        <w:b/>
        <w:color w:val="0B1F3A"/>
        <w:sz w:val="24"/>
      </w:rPr>
      <w:t>BTS</w:t>
    </w:r>
    <w:r>
      <w:rPr>
        <w:rFonts w:ascii="Calibri" w:hAnsi="Calibri"/>
        <w:b/>
        <w:color w:val="008C9E"/>
        <w:sz w:val="24"/>
      </w:rPr>
      <w:t>-SYNTHETIC</w:t>
    </w:r>
    <w:r>
      <w:rPr>
        <w:rFonts w:ascii="Calibri" w:hAnsi="Calibri"/>
        <w:color w:val="3D4A5C"/>
        <w:sz w:val="18"/>
      </w:rPr>
      <w:t xml:space="preserve">    |    Enterprise Data Platform    |    Confidential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