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1F3864"/>
          <w:sz w:val="56"/>
          <w:szCs w:val="56"/>
        </w:rPr>
        <w:t xml:space="preserve">CP PORTAL</w:t>
      </w:r>
    </w:p>
    <w:p>
      <w:pPr>
        <w:spacing w:before="80"/>
        <w:jc w:val="center"/>
      </w:pPr>
      <w:r>
        <w:rPr>
          <w:color w:val="2E75B6"/>
          <w:sz w:val="30"/>
          <w:szCs w:val="30"/>
        </w:rPr>
        <w:t xml:space="preserve">Competitive Brief &amp; Roadmap Priorities</w:t>
      </w:r>
    </w:p>
    <w:p>
      <w:pPr>
        <w:spacing w:before="120"/>
        <w:jc w:val="center"/>
      </w:pPr>
      <w:r>
        <w:rPr>
          <w:i/>
          <w:iCs/>
          <w:color w:val="595959"/>
          <w:sz w:val="20"/>
          <w:szCs w:val="20"/>
        </w:rPr>
        <w:t xml:space="preserve">Benchmark vs. phactMI-style Medical-Information / Self-Service HCP Portals — US &amp; EU</w:t>
      </w:r>
    </w:p>
    <w:p>
      <w:pPr>
        <w:spacing w:before="1100"/>
        <w:jc w:val="center"/>
      </w:pPr>
      <w:r>
        <w:rPr>
          <w:sz w:val="20"/>
          <w:szCs w:val="20"/>
        </w:rPr>
        <w:t xml:space="preserve">Prepared by: Saad Rahman, Chief Product Officer</w:t>
      </w:r>
    </w:p>
    <w:p>
      <w:pPr>
        <w:spacing w:before="60"/>
        <w:jc w:val="center"/>
      </w:pPr>
      <w:r>
        <w:rPr>
          <w:sz w:val="20"/>
          <w:szCs w:val="20"/>
        </w:rPr>
        <w:t xml:space="preserve">For: Varun Karne, CTO   •   Decision: prioritize the next build roadmap</w:t>
      </w:r>
    </w:p>
    <w:p>
      <w:pPr>
        <w:spacing w:before="60"/>
        <w:jc w:val="center"/>
      </w:pPr>
      <w:r>
        <w:rPr>
          <w:color w:val="595959"/>
          <w:sz w:val="20"/>
          <w:szCs w:val="20"/>
        </w:rPr>
        <w:t xml:space="preserve">Date: 8 July 2026   •   Companion file: CP_Portal_Competitive_Matrix.xlsx</w:t>
      </w:r>
    </w:p>
    <w:p>
      <w:r>
        <w:br w:type="page"/>
      </w:r>
    </w:p>
    <w:p>
      <w:pPr>
        <w:spacing w:after="160"/>
      </w:pPr>
      <w:r>
        <w:rPr>
          <w:b/>
          <w:bCs/>
          <w:color w:val="1F3864"/>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t xml:space="preserve">CP Portal is competitive on the fundamentals of a medical-information / self-service HCP portal, and it is genuinely ahead of the typical single-company med-info site on three fronts: white-label multi-client delivery, six-language auto-translation, and an MSL directory with booking. Against the phactMI member benchmark, those are real advantages — only about a fifth of member sites let an HCP even identify a local representative, and few offer anything close to our branding-per-client model.</w:t>
      </w:r>
    </w:p>
    <w:p>
      <w:pPr>
        <w:spacing w:after="120" w:line="276"/>
      </w:pPr>
      <w:r>
        <w:t xml:space="preserve">Where we are behind is not the basics — it is the direction the market is moving. Three gaps stand out and they are the reason this brief exists: we have no adverse-event capture and routing, our chatbot is not a grounded generative-AI assistant with escalation, and we do not validate HCP identity against reference data. The first is a regulatory blocker for EU go-live; the second is where the whole category is heading (“AI as the front door to medical information”); the third underpins both trust and downstream pharmacovigilance follow-up.</w:t>
      </w:r>
    </w:p>
    <w:p>
      <w:pPr>
        <w:spacing w:after="120" w:line="276"/>
      </w:pPr>
      <w:r>
        <w:t xml:space="preserve">Recommendation: treat adverse-event capture, a grounded GenAI medical assistant with human escalation, and verified HCP validation as the P1 build set. They close our most serious compliance gap, put us on the market's trajectory rather than behind it, and protect the differentiators we already have. Detailed ratings are in the companion matrix; the prioritized build list is in Section 7.</w:t>
      </w:r>
    </w:p>
    <w:p>
      <w:pPr>
        <w:pStyle w:val="Heading1"/>
      </w:pPr>
      <w:r>
        <w:t xml:space="preserve">2. Scope &amp; Competitive Set</w:t>
      </w:r>
    </w:p>
    <w:p>
      <w:pPr>
        <w:spacing w:after="120" w:line="276"/>
      </w:pPr>
      <w:r>
        <w:t xml:space="preserve">This brief benchmarks CP Portal against the medical-information / self-service HCP portal space in the US and EU, as requested. Because “market-available CP portals” in this category are mostly single-company medical-information websites rather than white-label platforms, the competitive set is framed in three tiers:</w:t>
      </w:r>
    </w:p>
    <w:p>
      <w:pPr>
        <w:pStyle w:val="ListParagraph"/>
        <w:numPr>
          <w:ilvl w:val="0"/>
          <w:numId w:val="2"/>
        </w:numPr>
        <w:spacing w:after="70"/>
      </w:pPr>
      <w:r>
        <w:rPr>
          <w:b/>
          <w:bCs/>
        </w:rPr>
        <w:t xml:space="preserve">Typical phactMI-member HCP site — </w:t>
      </w:r>
      <w:r>
        <w:t xml:space="preserve">the market standard: a pharma company's own medical-information website for HCPs. This is what most of our prospective clients compare us to and what the phactMI benchmark surveys measure.</w:t>
      </w:r>
    </w:p>
    <w:p>
      <w:pPr>
        <w:pStyle w:val="ListParagraph"/>
        <w:numPr>
          <w:ilvl w:val="0"/>
          <w:numId w:val="2"/>
        </w:numPr>
        <w:spacing w:after="70"/>
      </w:pPr>
      <w:r>
        <w:rPr>
          <w:b/>
          <w:bCs/>
        </w:rPr>
        <w:t xml:space="preserve">Leading-edge / AI adopters — </w:t>
      </w:r>
      <w:r>
        <w:t xml:space="preserve">the minority of companies already deploying GenAI chatbots, semantic search, and personalization. This is where the category is heading.</w:t>
      </w:r>
    </w:p>
    <w:p>
      <w:pPr>
        <w:pStyle w:val="ListParagraph"/>
        <w:numPr>
          <w:ilvl w:val="0"/>
          <w:numId w:val="2"/>
        </w:numPr>
        <w:spacing w:after="70"/>
      </w:pPr>
      <w:r>
        <w:rPr>
          <w:b/>
          <w:bCs/>
        </w:rPr>
        <w:t xml:space="preserve">Enterprise platforms (Veeva, IQVIA) — </w:t>
      </w:r>
      <w:r>
        <w:t xml:space="preserve">the tooling incumbents behind many of these sites (Veeva Vault MedInquiry for intake and SRDs, IQVIA Medical Information Services). They set the ceiling on workflow and compliance depth.</w:t>
      </w:r>
    </w:p>
    <w:p>
      <w:pPr>
        <w:spacing w:after="120" w:line="276"/>
      </w:pPr>
      <w:r>
        <w:t xml:space="preserve">The phactMI benchmark of 32 member companies is the anchor data set: 94% run a medical-information website, 97% of HCP sites allow self-authentication, 93% offer a webform plus 1-800 number, but only 24% had a chatbot in 2022 (up from 4% in 2018), 7% offered video chat, and 21% let HCPs identify a local rep. The stated three-year industry priorities were interactive SRDs, structured authoring, AI/ML search, personalization, and omnichannel — a useful map of where to aim.</w:t>
      </w:r>
    </w:p>
    <w:p>
      <w:pPr>
        <w:pStyle w:val="Heading1"/>
      </w:pPr>
      <w:r>
        <w:t xml:space="preserve">3. Where We Stand — Feature Comparison</w:t>
      </w:r>
    </w:p>
    <w:p>
      <w:pPr>
        <w:spacing w:after="120" w:line="276"/>
      </w:pPr>
      <w:r>
        <w:t xml:space="preserve">The full rating grid is in the companion Excel matrix. The summary below shows CP Portal against the market standard and the leading edge across the areas that matter most for the roadmap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820"/>
        <w:gridCol w:w="1820"/>
        <w:gridCol w:w="1820"/>
      </w:tblGrid>
      <w:tr>
        <w:trPr>
          <w:tblHeader/>
        </w:trPr>
        <w:tc>
          <w:tcPr>
            <w:tcW w:type="dxa" w:w="39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Capability</w:t>
            </w:r>
          </w:p>
        </w:tc>
        <w:tc>
          <w:tcPr>
            <w:tcW w:type="dxa" w:w="18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CP Portal</w:t>
            </w:r>
          </w:p>
        </w:tc>
        <w:tc>
          <w:tcPr>
            <w:tcW w:type="dxa" w:w="18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Market standard</w:t>
            </w:r>
          </w:p>
        </w:tc>
        <w:tc>
          <w:tcPr>
            <w:tcW w:type="dxa" w:w="18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8"/>
                <w:szCs w:val="18"/>
              </w:rPr>
              <w:t xml:space="preserve">Leading edge</w:t>
            </w:r>
          </w:p>
        </w:tc>
      </w:tr>
      <w:tr>
        <w:tc>
          <w:tcPr>
            <w:tcW w:type="dxa" w:w="3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color w:val="000000"/>
                <w:sz w:val="17"/>
                <w:szCs w:val="17"/>
              </w:rPr>
              <w:t xml:space="preserve">Medical inquiry webform</w:t>
            </w:r>
          </w:p>
        </w:tc>
        <w:tc>
          <w:tcPr>
            <w:tcW w:type="dxa" w:w="1820"/>
            <w:tcBorders>
              <w:top w:val="single" w:color="BFBFBF" w:sz="1"/>
              <w:left w:val="single" w:color="BFBFBF" w:sz="1"/>
              <w:bottom w:val="single" w:color="BFBFBF" w:sz="1"/>
              <w:right w:val="single" w:color="BFBFBF" w:sz="1"/>
            </w:tcBorders>
            <w:shd w:fill="C6EFCE" w:val="clear"/>
            <w:tcMar>
              <w:top w:type="dxa" w:w="50"/>
              <w:left w:type="dxa" w:w="100"/>
              <w:bottom w:type="dxa" w:w="50"/>
              <w:right w:type="dxa" w:w="100"/>
            </w:tcMar>
            <w:vAlign w:val="center"/>
          </w:tcPr>
          <w:p>
            <w:r>
              <w:rPr>
                <w:b/>
                <w:bCs/>
                <w:color w:val="1E6B34"/>
                <w:sz w:val="17"/>
                <w:szCs w:val="17"/>
              </w:rPr>
              <w:t xml:space="preserve">Strong</w:t>
            </w:r>
          </w:p>
        </w:tc>
        <w:tc>
          <w:tcPr>
            <w:tcW w:type="dxa" w:w="1820"/>
            <w:tcBorders>
              <w:top w:val="single" w:color="BFBFBF" w:sz="1"/>
              <w:left w:val="single" w:color="BFBFBF" w:sz="1"/>
              <w:bottom w:val="single" w:color="BFBFBF" w:sz="1"/>
              <w:right w:val="single" w:color="BFBFBF" w:sz="1"/>
            </w:tcBorders>
            <w:shd w:fill="C6EFCE" w:val="clear"/>
            <w:tcMar>
              <w:top w:type="dxa" w:w="50"/>
              <w:left w:type="dxa" w:w="100"/>
              <w:bottom w:type="dxa" w:w="50"/>
              <w:right w:type="dxa" w:w="100"/>
            </w:tcMar>
            <w:vAlign w:val="center"/>
          </w:tcPr>
          <w:p>
            <w:r>
              <w:rPr>
                <w:b/>
                <w:bCs/>
                <w:color w:val="1E6B34"/>
                <w:sz w:val="17"/>
                <w:szCs w:val="17"/>
              </w:rPr>
              <w:t xml:space="preserve">Strong</w:t>
            </w:r>
          </w:p>
        </w:tc>
        <w:tc>
          <w:tcPr>
            <w:tcW w:type="dxa" w:w="1820"/>
            <w:tcBorders>
              <w:top w:val="single" w:color="BFBFBF" w:sz="1"/>
              <w:left w:val="single" w:color="BFBFBF" w:sz="1"/>
              <w:bottom w:val="single" w:color="BFBFBF" w:sz="1"/>
              <w:right w:val="single" w:color="BFBFBF" w:sz="1"/>
            </w:tcBorders>
            <w:shd w:fill="C6EFCE" w:val="clear"/>
            <w:tcMar>
              <w:top w:type="dxa" w:w="50"/>
              <w:left w:type="dxa" w:w="100"/>
              <w:bottom w:type="dxa" w:w="50"/>
              <w:right w:type="dxa" w:w="100"/>
            </w:tcMar>
            <w:vAlign w:val="center"/>
          </w:tcPr>
          <w:p>
            <w:r>
              <w:rPr>
                <w:b/>
                <w:bCs/>
                <w:color w:val="1E6B34"/>
                <w:sz w:val="17"/>
                <w:szCs w:val="17"/>
              </w:rPr>
              <w:t xml:space="preserve">Strong</w:t>
            </w:r>
          </w:p>
        </w:tc>
      </w:tr>
      <w:tr>
        <w:tc>
          <w:tcPr>
            <w:tcW w:type="dxa" w:w="3900"/>
            <w:tcBorders>
              <w:top w:val="single" w:color="BFBFBF" w:sz="1"/>
              <w:left w:val="single" w:color="BFBFBF" w:sz="1"/>
              <w:bottom w:val="single" w:color="BFBFBF" w:sz="1"/>
              <w:right w:val="single" w:color="BFBFBF" w:sz="1"/>
            </w:tcBorders>
            <w:shd w:fill="F2F5FB" w:val="clear"/>
            <w:tcMar>
              <w:top w:type="dxa" w:w="50"/>
              <w:left w:type="dxa" w:w="100"/>
              <w:bottom w:type="dxa" w:w="50"/>
              <w:right w:type="dxa" w:w="100"/>
            </w:tcMar>
            <w:vAlign w:val="center"/>
          </w:tcPr>
          <w:p>
            <w:r>
              <w:rPr>
                <w:b w:val="false"/>
                <w:bCs w:val="false"/>
                <w:color w:val="000000"/>
                <w:sz w:val="17"/>
                <w:szCs w:val="17"/>
              </w:rPr>
              <w:t xml:space="preserve">Document library / SRDs</w:t>
            </w:r>
          </w:p>
        </w:tc>
        <w:tc>
          <w:tcPr>
            <w:tcW w:type="dxa" w:w="1820"/>
            <w:tcBorders>
              <w:top w:val="single" w:color="BFBFBF" w:sz="1"/>
              <w:left w:val="single" w:color="BFBFBF" w:sz="1"/>
              <w:bottom w:val="single" w:color="BFBFBF" w:sz="1"/>
              <w:right w:val="single" w:color="BFBFBF" w:sz="1"/>
            </w:tcBorders>
            <w:shd w:fill="C6EFCE" w:val="clear"/>
            <w:tcMar>
              <w:top w:type="dxa" w:w="50"/>
              <w:left w:type="dxa" w:w="100"/>
              <w:bottom w:type="dxa" w:w="50"/>
              <w:right w:type="dxa" w:w="100"/>
            </w:tcMar>
            <w:vAlign w:val="center"/>
          </w:tcPr>
          <w:p>
            <w:r>
              <w:rPr>
                <w:b/>
                <w:bCs/>
                <w:color w:val="1E6B34"/>
                <w:sz w:val="17"/>
                <w:szCs w:val="17"/>
              </w:rPr>
              <w:t xml:space="preserve">Strong</w:t>
            </w:r>
          </w:p>
        </w:tc>
        <w:tc>
          <w:tcPr>
            <w:tcW w:type="dxa" w:w="1820"/>
            <w:tcBorders>
              <w:top w:val="single" w:color="BFBFBF" w:sz="1"/>
              <w:left w:val="single" w:color="BFBFBF" w:sz="1"/>
              <w:bottom w:val="single" w:color="BFBFBF" w:sz="1"/>
              <w:right w:val="single" w:color="BFBFBF" w:sz="1"/>
            </w:tcBorders>
            <w:shd w:fill="C6EFCE" w:val="clear"/>
            <w:tcMar>
              <w:top w:type="dxa" w:w="50"/>
              <w:left w:type="dxa" w:w="100"/>
              <w:bottom w:type="dxa" w:w="50"/>
              <w:right w:type="dxa" w:w="100"/>
            </w:tcMar>
            <w:vAlign w:val="center"/>
          </w:tcPr>
          <w:p>
            <w:r>
              <w:rPr>
                <w:b/>
                <w:bCs/>
                <w:color w:val="1E6B34"/>
                <w:sz w:val="17"/>
                <w:szCs w:val="17"/>
              </w:rPr>
              <w:t xml:space="preserve">Strong</w:t>
            </w:r>
          </w:p>
        </w:tc>
        <w:tc>
          <w:tcPr>
            <w:tcW w:type="dxa" w:w="1820"/>
            <w:tcBorders>
              <w:top w:val="single" w:color="BFBFBF" w:sz="1"/>
              <w:left w:val="single" w:color="BFBFBF" w:sz="1"/>
              <w:bottom w:val="single" w:color="BFBFBF" w:sz="1"/>
              <w:right w:val="single" w:color="BFBFBF" w:sz="1"/>
            </w:tcBorders>
            <w:shd w:fill="C6EFCE" w:val="clear"/>
            <w:tcMar>
              <w:top w:type="dxa" w:w="50"/>
              <w:left w:type="dxa" w:w="100"/>
              <w:bottom w:type="dxa" w:w="50"/>
              <w:right w:type="dxa" w:w="100"/>
            </w:tcMar>
            <w:vAlign w:val="center"/>
          </w:tcPr>
          <w:p>
            <w:r>
              <w:rPr>
                <w:b/>
                <w:bCs/>
                <w:color w:val="1E6B34"/>
                <w:sz w:val="17"/>
                <w:szCs w:val="17"/>
              </w:rPr>
              <w:t xml:space="preserve">Strong</w:t>
            </w:r>
          </w:p>
        </w:tc>
      </w:tr>
      <w:tr>
        <w:tc>
          <w:tcPr>
            <w:tcW w:type="dxa" w:w="3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color w:val="000000"/>
                <w:sz w:val="17"/>
                <w:szCs w:val="17"/>
              </w:rPr>
              <w:t xml:space="preserve">News, safety, FAQ</w:t>
            </w:r>
          </w:p>
        </w:tc>
        <w:tc>
          <w:tcPr>
            <w:tcW w:type="dxa" w:w="1820"/>
            <w:tcBorders>
              <w:top w:val="single" w:color="BFBFBF" w:sz="1"/>
              <w:left w:val="single" w:color="BFBFBF" w:sz="1"/>
              <w:bottom w:val="single" w:color="BFBFBF" w:sz="1"/>
              <w:right w:val="single" w:color="BFBFBF" w:sz="1"/>
            </w:tcBorders>
            <w:shd w:fill="C6EFCE" w:val="clear"/>
            <w:tcMar>
              <w:top w:type="dxa" w:w="50"/>
              <w:left w:type="dxa" w:w="100"/>
              <w:bottom w:type="dxa" w:w="50"/>
              <w:right w:type="dxa" w:w="100"/>
            </w:tcMar>
            <w:vAlign w:val="center"/>
          </w:tcPr>
          <w:p>
            <w:r>
              <w:rPr>
                <w:b/>
                <w:bCs/>
                <w:color w:val="1E6B34"/>
                <w:sz w:val="17"/>
                <w:szCs w:val="17"/>
              </w:rPr>
              <w:t xml:space="preserve">Strong</w:t>
            </w:r>
          </w:p>
        </w:tc>
        <w:tc>
          <w:tcPr>
            <w:tcW w:type="dxa" w:w="1820"/>
            <w:tcBorders>
              <w:top w:val="single" w:color="BFBFBF" w:sz="1"/>
              <w:left w:val="single" w:color="BFBFBF" w:sz="1"/>
              <w:bottom w:val="single" w:color="BFBFBF" w:sz="1"/>
              <w:right w:val="single" w:color="BFBFBF" w:sz="1"/>
            </w:tcBorders>
            <w:shd w:fill="FFEB9C" w:val="clear"/>
            <w:tcMar>
              <w:top w:type="dxa" w:w="50"/>
              <w:left w:type="dxa" w:w="100"/>
              <w:bottom w:type="dxa" w:w="50"/>
              <w:right w:type="dxa" w:w="100"/>
            </w:tcMar>
            <w:vAlign w:val="center"/>
          </w:tcPr>
          <w:p>
            <w:r>
              <w:rPr>
                <w:b/>
                <w:bCs/>
                <w:color w:val="8A6D00"/>
                <w:sz w:val="17"/>
                <w:szCs w:val="17"/>
              </w:rPr>
              <w:t xml:space="preserve">Adequate</w:t>
            </w:r>
          </w:p>
        </w:tc>
        <w:tc>
          <w:tcPr>
            <w:tcW w:type="dxa" w:w="1820"/>
            <w:tcBorders>
              <w:top w:val="single" w:color="BFBFBF" w:sz="1"/>
              <w:left w:val="single" w:color="BFBFBF" w:sz="1"/>
              <w:bottom w:val="single" w:color="BFBFBF" w:sz="1"/>
              <w:right w:val="single" w:color="BFBFBF" w:sz="1"/>
            </w:tcBorders>
            <w:shd w:fill="C6EFCE" w:val="clear"/>
            <w:tcMar>
              <w:top w:type="dxa" w:w="50"/>
              <w:left w:type="dxa" w:w="100"/>
              <w:bottom w:type="dxa" w:w="50"/>
              <w:right w:type="dxa" w:w="100"/>
            </w:tcMar>
            <w:vAlign w:val="center"/>
          </w:tcPr>
          <w:p>
            <w:r>
              <w:rPr>
                <w:b/>
                <w:bCs/>
                <w:color w:val="1E6B34"/>
                <w:sz w:val="17"/>
                <w:szCs w:val="17"/>
              </w:rPr>
              <w:t xml:space="preserve">Strong</w:t>
            </w:r>
          </w:p>
        </w:tc>
      </w:tr>
      <w:tr>
        <w:tc>
          <w:tcPr>
            <w:tcW w:type="dxa" w:w="3900"/>
            <w:tcBorders>
              <w:top w:val="single" w:color="BFBFBF" w:sz="1"/>
              <w:left w:val="single" w:color="BFBFBF" w:sz="1"/>
              <w:bottom w:val="single" w:color="BFBFBF" w:sz="1"/>
              <w:right w:val="single" w:color="BFBFBF" w:sz="1"/>
            </w:tcBorders>
            <w:shd w:fill="F2F5FB" w:val="clear"/>
            <w:tcMar>
              <w:top w:type="dxa" w:w="50"/>
              <w:left w:type="dxa" w:w="100"/>
              <w:bottom w:type="dxa" w:w="50"/>
              <w:right w:type="dxa" w:w="100"/>
            </w:tcMar>
            <w:vAlign w:val="center"/>
          </w:tcPr>
          <w:p>
            <w:r>
              <w:rPr>
                <w:b w:val="false"/>
                <w:bCs w:val="false"/>
                <w:color w:val="000000"/>
                <w:sz w:val="17"/>
                <w:szCs w:val="17"/>
              </w:rPr>
              <w:t xml:space="preserve">GenAI medical chatbot + escalation</w:t>
            </w:r>
          </w:p>
        </w:tc>
        <w:tc>
          <w:tcPr>
            <w:tcW w:type="dxa" w:w="1820"/>
            <w:tcBorders>
              <w:top w:val="single" w:color="BFBFBF" w:sz="1"/>
              <w:left w:val="single" w:color="BFBFBF" w:sz="1"/>
              <w:bottom w:val="single" w:color="BFBFBF" w:sz="1"/>
              <w:right w:val="single" w:color="BFBFBF" w:sz="1"/>
            </w:tcBorders>
            <w:shd w:fill="FFF2CC" w:val="clear"/>
            <w:tcMar>
              <w:top w:type="dxa" w:w="50"/>
              <w:left w:type="dxa" w:w="100"/>
              <w:bottom w:type="dxa" w:w="50"/>
              <w:right w:type="dxa" w:w="100"/>
            </w:tcMar>
            <w:vAlign w:val="center"/>
          </w:tcPr>
          <w:p>
            <w:r>
              <w:rPr>
                <w:b/>
                <w:bCs/>
                <w:color w:val="8A6D00"/>
                <w:sz w:val="17"/>
                <w:szCs w:val="17"/>
              </w:rPr>
              <w:t xml:space="preserve">Weak</w:t>
            </w:r>
          </w:p>
        </w:tc>
        <w:tc>
          <w:tcPr>
            <w:tcW w:type="dxa" w:w="1820"/>
            <w:tcBorders>
              <w:top w:val="single" w:color="BFBFBF" w:sz="1"/>
              <w:left w:val="single" w:color="BFBFBF" w:sz="1"/>
              <w:bottom w:val="single" w:color="BFBFBF" w:sz="1"/>
              <w:right w:val="single" w:color="BFBFBF" w:sz="1"/>
            </w:tcBorders>
            <w:shd w:fill="FFF2CC" w:val="clear"/>
            <w:tcMar>
              <w:top w:type="dxa" w:w="50"/>
              <w:left w:type="dxa" w:w="100"/>
              <w:bottom w:type="dxa" w:w="50"/>
              <w:right w:type="dxa" w:w="100"/>
            </w:tcMar>
            <w:vAlign w:val="center"/>
          </w:tcPr>
          <w:p>
            <w:r>
              <w:rPr>
                <w:b/>
                <w:bCs/>
                <w:color w:val="8A6D00"/>
                <w:sz w:val="17"/>
                <w:szCs w:val="17"/>
              </w:rPr>
              <w:t xml:space="preserve">Weak</w:t>
            </w:r>
          </w:p>
        </w:tc>
        <w:tc>
          <w:tcPr>
            <w:tcW w:type="dxa" w:w="1820"/>
            <w:tcBorders>
              <w:top w:val="single" w:color="BFBFBF" w:sz="1"/>
              <w:left w:val="single" w:color="BFBFBF" w:sz="1"/>
              <w:bottom w:val="single" w:color="BFBFBF" w:sz="1"/>
              <w:right w:val="single" w:color="BFBFBF" w:sz="1"/>
            </w:tcBorders>
            <w:shd w:fill="C6EFCE" w:val="clear"/>
            <w:tcMar>
              <w:top w:type="dxa" w:w="50"/>
              <w:left w:type="dxa" w:w="100"/>
              <w:bottom w:type="dxa" w:w="50"/>
              <w:right w:type="dxa" w:w="100"/>
            </w:tcMar>
            <w:vAlign w:val="center"/>
          </w:tcPr>
          <w:p>
            <w:r>
              <w:rPr>
                <w:b/>
                <w:bCs/>
                <w:color w:val="1E6B34"/>
                <w:sz w:val="17"/>
                <w:szCs w:val="17"/>
              </w:rPr>
              <w:t xml:space="preserve">Strong</w:t>
            </w:r>
          </w:p>
        </w:tc>
      </w:tr>
      <w:tr>
        <w:tc>
          <w:tcPr>
            <w:tcW w:type="dxa" w:w="3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color w:val="000000"/>
                <w:sz w:val="17"/>
                <w:szCs w:val="17"/>
              </w:rPr>
              <w:t xml:space="preserve">Adverse-event capture &amp; routing</w:t>
            </w:r>
          </w:p>
        </w:tc>
        <w:tc>
          <w:tcPr>
            <w:tcW w:type="dxa" w:w="1820"/>
            <w:tcBorders>
              <w:top w:val="single" w:color="BFBFBF" w:sz="1"/>
              <w:left w:val="single" w:color="BFBFBF" w:sz="1"/>
              <w:bottom w:val="single" w:color="BFBFBF" w:sz="1"/>
              <w:right w:val="single" w:color="BFBFBF" w:sz="1"/>
            </w:tcBorders>
            <w:shd w:fill="FFC7CE" w:val="clear"/>
            <w:tcMar>
              <w:top w:type="dxa" w:w="50"/>
              <w:left w:type="dxa" w:w="100"/>
              <w:bottom w:type="dxa" w:w="50"/>
              <w:right w:type="dxa" w:w="100"/>
            </w:tcMar>
            <w:vAlign w:val="center"/>
          </w:tcPr>
          <w:p>
            <w:r>
              <w:rPr>
                <w:b/>
                <w:bCs/>
                <w:color w:val="9C0006"/>
                <w:sz w:val="17"/>
                <w:szCs w:val="17"/>
              </w:rPr>
              <w:t xml:space="preserve">Absent</w:t>
            </w:r>
          </w:p>
        </w:tc>
        <w:tc>
          <w:tcPr>
            <w:tcW w:type="dxa" w:w="1820"/>
            <w:tcBorders>
              <w:top w:val="single" w:color="BFBFBF" w:sz="1"/>
              <w:left w:val="single" w:color="BFBFBF" w:sz="1"/>
              <w:bottom w:val="single" w:color="BFBFBF" w:sz="1"/>
              <w:right w:val="single" w:color="BFBFBF" w:sz="1"/>
            </w:tcBorders>
            <w:shd w:fill="FFEB9C" w:val="clear"/>
            <w:tcMar>
              <w:top w:type="dxa" w:w="50"/>
              <w:left w:type="dxa" w:w="100"/>
              <w:bottom w:type="dxa" w:w="50"/>
              <w:right w:type="dxa" w:w="100"/>
            </w:tcMar>
            <w:vAlign w:val="center"/>
          </w:tcPr>
          <w:p>
            <w:r>
              <w:rPr>
                <w:b/>
                <w:bCs/>
                <w:color w:val="8A6D00"/>
                <w:sz w:val="17"/>
                <w:szCs w:val="17"/>
              </w:rPr>
              <w:t xml:space="preserve">Adequate</w:t>
            </w:r>
          </w:p>
        </w:tc>
        <w:tc>
          <w:tcPr>
            <w:tcW w:type="dxa" w:w="1820"/>
            <w:tcBorders>
              <w:top w:val="single" w:color="BFBFBF" w:sz="1"/>
              <w:left w:val="single" w:color="BFBFBF" w:sz="1"/>
              <w:bottom w:val="single" w:color="BFBFBF" w:sz="1"/>
              <w:right w:val="single" w:color="BFBFBF" w:sz="1"/>
            </w:tcBorders>
            <w:shd w:fill="C6EFCE" w:val="clear"/>
            <w:tcMar>
              <w:top w:type="dxa" w:w="50"/>
              <w:left w:type="dxa" w:w="100"/>
              <w:bottom w:type="dxa" w:w="50"/>
              <w:right w:type="dxa" w:w="100"/>
            </w:tcMar>
            <w:vAlign w:val="center"/>
          </w:tcPr>
          <w:p>
            <w:r>
              <w:rPr>
                <w:b/>
                <w:bCs/>
                <w:color w:val="1E6B34"/>
                <w:sz w:val="17"/>
                <w:szCs w:val="17"/>
              </w:rPr>
              <w:t xml:space="preserve">Strong</w:t>
            </w:r>
          </w:p>
        </w:tc>
      </w:tr>
      <w:tr>
        <w:tc>
          <w:tcPr>
            <w:tcW w:type="dxa" w:w="3900"/>
            <w:tcBorders>
              <w:top w:val="single" w:color="BFBFBF" w:sz="1"/>
              <w:left w:val="single" w:color="BFBFBF" w:sz="1"/>
              <w:bottom w:val="single" w:color="BFBFBF" w:sz="1"/>
              <w:right w:val="single" w:color="BFBFBF" w:sz="1"/>
            </w:tcBorders>
            <w:shd w:fill="F2F5FB" w:val="clear"/>
            <w:tcMar>
              <w:top w:type="dxa" w:w="50"/>
              <w:left w:type="dxa" w:w="100"/>
              <w:bottom w:type="dxa" w:w="50"/>
              <w:right w:type="dxa" w:w="100"/>
            </w:tcMar>
            <w:vAlign w:val="center"/>
          </w:tcPr>
          <w:p>
            <w:r>
              <w:rPr>
                <w:b w:val="false"/>
                <w:bCs w:val="false"/>
                <w:color w:val="000000"/>
                <w:sz w:val="17"/>
                <w:szCs w:val="17"/>
              </w:rPr>
              <w:t xml:space="preserve">Verified HCP validation</w:t>
            </w:r>
          </w:p>
        </w:tc>
        <w:tc>
          <w:tcPr>
            <w:tcW w:type="dxa" w:w="1820"/>
            <w:tcBorders>
              <w:top w:val="single" w:color="BFBFBF" w:sz="1"/>
              <w:left w:val="single" w:color="BFBFBF" w:sz="1"/>
              <w:bottom w:val="single" w:color="BFBFBF" w:sz="1"/>
              <w:right w:val="single" w:color="BFBFBF" w:sz="1"/>
            </w:tcBorders>
            <w:shd w:fill="FFF2CC" w:val="clear"/>
            <w:tcMar>
              <w:top w:type="dxa" w:w="50"/>
              <w:left w:type="dxa" w:w="100"/>
              <w:bottom w:type="dxa" w:w="50"/>
              <w:right w:type="dxa" w:w="100"/>
            </w:tcMar>
            <w:vAlign w:val="center"/>
          </w:tcPr>
          <w:p>
            <w:r>
              <w:rPr>
                <w:b/>
                <w:bCs/>
                <w:color w:val="8A6D00"/>
                <w:sz w:val="17"/>
                <w:szCs w:val="17"/>
              </w:rPr>
              <w:t xml:space="preserve">Weak</w:t>
            </w:r>
          </w:p>
        </w:tc>
        <w:tc>
          <w:tcPr>
            <w:tcW w:type="dxa" w:w="1820"/>
            <w:tcBorders>
              <w:top w:val="single" w:color="BFBFBF" w:sz="1"/>
              <w:left w:val="single" w:color="BFBFBF" w:sz="1"/>
              <w:bottom w:val="single" w:color="BFBFBF" w:sz="1"/>
              <w:right w:val="single" w:color="BFBFBF" w:sz="1"/>
            </w:tcBorders>
            <w:shd w:fill="FFEB9C" w:val="clear"/>
            <w:tcMar>
              <w:top w:type="dxa" w:w="50"/>
              <w:left w:type="dxa" w:w="100"/>
              <w:bottom w:type="dxa" w:w="50"/>
              <w:right w:type="dxa" w:w="100"/>
            </w:tcMar>
            <w:vAlign w:val="center"/>
          </w:tcPr>
          <w:p>
            <w:r>
              <w:rPr>
                <w:b/>
                <w:bCs/>
                <w:color w:val="8A6D00"/>
                <w:sz w:val="17"/>
                <w:szCs w:val="17"/>
              </w:rPr>
              <w:t xml:space="preserve">Adequate</w:t>
            </w:r>
          </w:p>
        </w:tc>
        <w:tc>
          <w:tcPr>
            <w:tcW w:type="dxa" w:w="1820"/>
            <w:tcBorders>
              <w:top w:val="single" w:color="BFBFBF" w:sz="1"/>
              <w:left w:val="single" w:color="BFBFBF" w:sz="1"/>
              <w:bottom w:val="single" w:color="BFBFBF" w:sz="1"/>
              <w:right w:val="single" w:color="BFBFBF" w:sz="1"/>
            </w:tcBorders>
            <w:shd w:fill="C6EFCE" w:val="clear"/>
            <w:tcMar>
              <w:top w:type="dxa" w:w="50"/>
              <w:left w:type="dxa" w:w="100"/>
              <w:bottom w:type="dxa" w:w="50"/>
              <w:right w:type="dxa" w:w="100"/>
            </w:tcMar>
            <w:vAlign w:val="center"/>
          </w:tcPr>
          <w:p>
            <w:r>
              <w:rPr>
                <w:b/>
                <w:bCs/>
                <w:color w:val="1E6B34"/>
                <w:sz w:val="17"/>
                <w:szCs w:val="17"/>
              </w:rPr>
              <w:t xml:space="preserve">Strong</w:t>
            </w:r>
          </w:p>
        </w:tc>
      </w:tr>
      <w:tr>
        <w:tc>
          <w:tcPr>
            <w:tcW w:type="dxa" w:w="3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color w:val="000000"/>
                <w:sz w:val="17"/>
                <w:szCs w:val="17"/>
              </w:rPr>
              <w:t xml:space="preserve">Find / contact local MSL</w:t>
            </w:r>
          </w:p>
        </w:tc>
        <w:tc>
          <w:tcPr>
            <w:tcW w:type="dxa" w:w="1820"/>
            <w:tcBorders>
              <w:top w:val="single" w:color="BFBFBF" w:sz="1"/>
              <w:left w:val="single" w:color="BFBFBF" w:sz="1"/>
              <w:bottom w:val="single" w:color="BFBFBF" w:sz="1"/>
              <w:right w:val="single" w:color="BFBFBF" w:sz="1"/>
            </w:tcBorders>
            <w:shd w:fill="C6EFCE" w:val="clear"/>
            <w:tcMar>
              <w:top w:type="dxa" w:w="50"/>
              <w:left w:type="dxa" w:w="100"/>
              <w:bottom w:type="dxa" w:w="50"/>
              <w:right w:type="dxa" w:w="100"/>
            </w:tcMar>
            <w:vAlign w:val="center"/>
          </w:tcPr>
          <w:p>
            <w:r>
              <w:rPr>
                <w:b/>
                <w:bCs/>
                <w:color w:val="1E6B34"/>
                <w:sz w:val="17"/>
                <w:szCs w:val="17"/>
              </w:rPr>
              <w:t xml:space="preserve">Strong</w:t>
            </w:r>
          </w:p>
        </w:tc>
        <w:tc>
          <w:tcPr>
            <w:tcW w:type="dxa" w:w="1820"/>
            <w:tcBorders>
              <w:top w:val="single" w:color="BFBFBF" w:sz="1"/>
              <w:left w:val="single" w:color="BFBFBF" w:sz="1"/>
              <w:bottom w:val="single" w:color="BFBFBF" w:sz="1"/>
              <w:right w:val="single" w:color="BFBFBF" w:sz="1"/>
            </w:tcBorders>
            <w:shd w:fill="FFF2CC" w:val="clear"/>
            <w:tcMar>
              <w:top w:type="dxa" w:w="50"/>
              <w:left w:type="dxa" w:w="100"/>
              <w:bottom w:type="dxa" w:w="50"/>
              <w:right w:type="dxa" w:w="100"/>
            </w:tcMar>
            <w:vAlign w:val="center"/>
          </w:tcPr>
          <w:p>
            <w:r>
              <w:rPr>
                <w:b/>
                <w:bCs/>
                <w:color w:val="8A6D00"/>
                <w:sz w:val="17"/>
                <w:szCs w:val="17"/>
              </w:rPr>
              <w:t xml:space="preserve">Weak</w:t>
            </w:r>
          </w:p>
        </w:tc>
        <w:tc>
          <w:tcPr>
            <w:tcW w:type="dxa" w:w="1820"/>
            <w:tcBorders>
              <w:top w:val="single" w:color="BFBFBF" w:sz="1"/>
              <w:left w:val="single" w:color="BFBFBF" w:sz="1"/>
              <w:bottom w:val="single" w:color="BFBFBF" w:sz="1"/>
              <w:right w:val="single" w:color="BFBFBF" w:sz="1"/>
            </w:tcBorders>
            <w:shd w:fill="FFEB9C" w:val="clear"/>
            <w:tcMar>
              <w:top w:type="dxa" w:w="50"/>
              <w:left w:type="dxa" w:w="100"/>
              <w:bottom w:type="dxa" w:w="50"/>
              <w:right w:type="dxa" w:w="100"/>
            </w:tcMar>
            <w:vAlign w:val="center"/>
          </w:tcPr>
          <w:p>
            <w:r>
              <w:rPr>
                <w:b/>
                <w:bCs/>
                <w:color w:val="8A6D00"/>
                <w:sz w:val="17"/>
                <w:szCs w:val="17"/>
              </w:rPr>
              <w:t xml:space="preserve">Adequate</w:t>
            </w:r>
          </w:p>
        </w:tc>
      </w:tr>
      <w:tr>
        <w:tc>
          <w:tcPr>
            <w:tcW w:type="dxa" w:w="3900"/>
            <w:tcBorders>
              <w:top w:val="single" w:color="BFBFBF" w:sz="1"/>
              <w:left w:val="single" w:color="BFBFBF" w:sz="1"/>
              <w:bottom w:val="single" w:color="BFBFBF" w:sz="1"/>
              <w:right w:val="single" w:color="BFBFBF" w:sz="1"/>
            </w:tcBorders>
            <w:shd w:fill="F2F5FB" w:val="clear"/>
            <w:tcMar>
              <w:top w:type="dxa" w:w="50"/>
              <w:left w:type="dxa" w:w="100"/>
              <w:bottom w:type="dxa" w:w="50"/>
              <w:right w:type="dxa" w:w="100"/>
            </w:tcMar>
            <w:vAlign w:val="center"/>
          </w:tcPr>
          <w:p>
            <w:r>
              <w:rPr>
                <w:b w:val="false"/>
                <w:bCs w:val="false"/>
                <w:color w:val="000000"/>
                <w:sz w:val="17"/>
                <w:szCs w:val="17"/>
              </w:rPr>
              <w:t xml:space="preserve">AI / semantic search</w:t>
            </w:r>
          </w:p>
        </w:tc>
        <w:tc>
          <w:tcPr>
            <w:tcW w:type="dxa" w:w="1820"/>
            <w:tcBorders>
              <w:top w:val="single" w:color="BFBFBF" w:sz="1"/>
              <w:left w:val="single" w:color="BFBFBF" w:sz="1"/>
              <w:bottom w:val="single" w:color="BFBFBF" w:sz="1"/>
              <w:right w:val="single" w:color="BFBFBF" w:sz="1"/>
            </w:tcBorders>
            <w:shd w:fill="FFF2CC" w:val="clear"/>
            <w:tcMar>
              <w:top w:type="dxa" w:w="50"/>
              <w:left w:type="dxa" w:w="100"/>
              <w:bottom w:type="dxa" w:w="50"/>
              <w:right w:type="dxa" w:w="100"/>
            </w:tcMar>
            <w:vAlign w:val="center"/>
          </w:tcPr>
          <w:p>
            <w:r>
              <w:rPr>
                <w:b/>
                <w:bCs/>
                <w:color w:val="8A6D00"/>
                <w:sz w:val="17"/>
                <w:szCs w:val="17"/>
              </w:rPr>
              <w:t xml:space="preserve">Weak</w:t>
            </w:r>
          </w:p>
        </w:tc>
        <w:tc>
          <w:tcPr>
            <w:tcW w:type="dxa" w:w="1820"/>
            <w:tcBorders>
              <w:top w:val="single" w:color="BFBFBF" w:sz="1"/>
              <w:left w:val="single" w:color="BFBFBF" w:sz="1"/>
              <w:bottom w:val="single" w:color="BFBFBF" w:sz="1"/>
              <w:right w:val="single" w:color="BFBFBF" w:sz="1"/>
            </w:tcBorders>
            <w:shd w:fill="FFF2CC" w:val="clear"/>
            <w:tcMar>
              <w:top w:type="dxa" w:w="50"/>
              <w:left w:type="dxa" w:w="100"/>
              <w:bottom w:type="dxa" w:w="50"/>
              <w:right w:type="dxa" w:w="100"/>
            </w:tcMar>
            <w:vAlign w:val="center"/>
          </w:tcPr>
          <w:p>
            <w:r>
              <w:rPr>
                <w:b/>
                <w:bCs/>
                <w:color w:val="8A6D00"/>
                <w:sz w:val="17"/>
                <w:szCs w:val="17"/>
              </w:rPr>
              <w:t xml:space="preserve">Weak</w:t>
            </w:r>
          </w:p>
        </w:tc>
        <w:tc>
          <w:tcPr>
            <w:tcW w:type="dxa" w:w="1820"/>
            <w:tcBorders>
              <w:top w:val="single" w:color="BFBFBF" w:sz="1"/>
              <w:left w:val="single" w:color="BFBFBF" w:sz="1"/>
              <w:bottom w:val="single" w:color="BFBFBF" w:sz="1"/>
              <w:right w:val="single" w:color="BFBFBF" w:sz="1"/>
            </w:tcBorders>
            <w:shd w:fill="C6EFCE" w:val="clear"/>
            <w:tcMar>
              <w:top w:type="dxa" w:w="50"/>
              <w:left w:type="dxa" w:w="100"/>
              <w:bottom w:type="dxa" w:w="50"/>
              <w:right w:type="dxa" w:w="100"/>
            </w:tcMar>
            <w:vAlign w:val="center"/>
          </w:tcPr>
          <w:p>
            <w:r>
              <w:rPr>
                <w:b/>
                <w:bCs/>
                <w:color w:val="1E6B34"/>
                <w:sz w:val="17"/>
                <w:szCs w:val="17"/>
              </w:rPr>
              <w:t xml:space="preserve">Strong</w:t>
            </w:r>
          </w:p>
        </w:tc>
      </w:tr>
      <w:tr>
        <w:tc>
          <w:tcPr>
            <w:tcW w:type="dxa" w:w="3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color w:val="000000"/>
                <w:sz w:val="17"/>
                <w:szCs w:val="17"/>
              </w:rPr>
              <w:t xml:space="preserve">CRM / Veeva integration</w:t>
            </w:r>
          </w:p>
        </w:tc>
        <w:tc>
          <w:tcPr>
            <w:tcW w:type="dxa" w:w="1820"/>
            <w:tcBorders>
              <w:top w:val="single" w:color="BFBFBF" w:sz="1"/>
              <w:left w:val="single" w:color="BFBFBF" w:sz="1"/>
              <w:bottom w:val="single" w:color="BFBFBF" w:sz="1"/>
              <w:right w:val="single" w:color="BFBFBF" w:sz="1"/>
            </w:tcBorders>
            <w:shd w:fill="FFF2CC" w:val="clear"/>
            <w:tcMar>
              <w:top w:type="dxa" w:w="50"/>
              <w:left w:type="dxa" w:w="100"/>
              <w:bottom w:type="dxa" w:w="50"/>
              <w:right w:type="dxa" w:w="100"/>
            </w:tcMar>
            <w:vAlign w:val="center"/>
          </w:tcPr>
          <w:p>
            <w:r>
              <w:rPr>
                <w:b/>
                <w:bCs/>
                <w:color w:val="8A6D00"/>
                <w:sz w:val="17"/>
                <w:szCs w:val="17"/>
              </w:rPr>
              <w:t xml:space="preserve">Weak</w:t>
            </w:r>
          </w:p>
        </w:tc>
        <w:tc>
          <w:tcPr>
            <w:tcW w:type="dxa" w:w="1820"/>
            <w:tcBorders>
              <w:top w:val="single" w:color="BFBFBF" w:sz="1"/>
              <w:left w:val="single" w:color="BFBFBF" w:sz="1"/>
              <w:bottom w:val="single" w:color="BFBFBF" w:sz="1"/>
              <w:right w:val="single" w:color="BFBFBF" w:sz="1"/>
            </w:tcBorders>
            <w:shd w:fill="FFEB9C" w:val="clear"/>
            <w:tcMar>
              <w:top w:type="dxa" w:w="50"/>
              <w:left w:type="dxa" w:w="100"/>
              <w:bottom w:type="dxa" w:w="50"/>
              <w:right w:type="dxa" w:w="100"/>
            </w:tcMar>
            <w:vAlign w:val="center"/>
          </w:tcPr>
          <w:p>
            <w:r>
              <w:rPr>
                <w:b/>
                <w:bCs/>
                <w:color w:val="8A6D00"/>
                <w:sz w:val="17"/>
                <w:szCs w:val="17"/>
              </w:rPr>
              <w:t xml:space="preserve">Adequate</w:t>
            </w:r>
          </w:p>
        </w:tc>
        <w:tc>
          <w:tcPr>
            <w:tcW w:type="dxa" w:w="1820"/>
            <w:tcBorders>
              <w:top w:val="single" w:color="BFBFBF" w:sz="1"/>
              <w:left w:val="single" w:color="BFBFBF" w:sz="1"/>
              <w:bottom w:val="single" w:color="BFBFBF" w:sz="1"/>
              <w:right w:val="single" w:color="BFBFBF" w:sz="1"/>
            </w:tcBorders>
            <w:shd w:fill="C6EFCE" w:val="clear"/>
            <w:tcMar>
              <w:top w:type="dxa" w:w="50"/>
              <w:left w:type="dxa" w:w="100"/>
              <w:bottom w:type="dxa" w:w="50"/>
              <w:right w:type="dxa" w:w="100"/>
            </w:tcMar>
            <w:vAlign w:val="center"/>
          </w:tcPr>
          <w:p>
            <w:r>
              <w:rPr>
                <w:b/>
                <w:bCs/>
                <w:color w:val="1E6B34"/>
                <w:sz w:val="17"/>
                <w:szCs w:val="17"/>
              </w:rPr>
              <w:t xml:space="preserve">Strong</w:t>
            </w:r>
          </w:p>
        </w:tc>
      </w:tr>
      <w:tr>
        <w:tc>
          <w:tcPr>
            <w:tcW w:type="dxa" w:w="3900"/>
            <w:tcBorders>
              <w:top w:val="single" w:color="BFBFBF" w:sz="1"/>
              <w:left w:val="single" w:color="BFBFBF" w:sz="1"/>
              <w:bottom w:val="single" w:color="BFBFBF" w:sz="1"/>
              <w:right w:val="single" w:color="BFBFBF" w:sz="1"/>
            </w:tcBorders>
            <w:shd w:fill="F2F5FB" w:val="clear"/>
            <w:tcMar>
              <w:top w:type="dxa" w:w="50"/>
              <w:left w:type="dxa" w:w="100"/>
              <w:bottom w:type="dxa" w:w="50"/>
              <w:right w:type="dxa" w:w="100"/>
            </w:tcMar>
            <w:vAlign w:val="center"/>
          </w:tcPr>
          <w:p>
            <w:r>
              <w:rPr>
                <w:b w:val="false"/>
                <w:bCs w:val="false"/>
                <w:color w:val="000000"/>
                <w:sz w:val="17"/>
                <w:szCs w:val="17"/>
              </w:rPr>
              <w:t xml:space="preserve">Omnichannel delivery</w:t>
            </w:r>
          </w:p>
        </w:tc>
        <w:tc>
          <w:tcPr>
            <w:tcW w:type="dxa" w:w="1820"/>
            <w:tcBorders>
              <w:top w:val="single" w:color="BFBFBF" w:sz="1"/>
              <w:left w:val="single" w:color="BFBFBF" w:sz="1"/>
              <w:bottom w:val="single" w:color="BFBFBF" w:sz="1"/>
              <w:right w:val="single" w:color="BFBFBF" w:sz="1"/>
            </w:tcBorders>
            <w:shd w:fill="FFF2CC" w:val="clear"/>
            <w:tcMar>
              <w:top w:type="dxa" w:w="50"/>
              <w:left w:type="dxa" w:w="100"/>
              <w:bottom w:type="dxa" w:w="50"/>
              <w:right w:type="dxa" w:w="100"/>
            </w:tcMar>
            <w:vAlign w:val="center"/>
          </w:tcPr>
          <w:p>
            <w:r>
              <w:rPr>
                <w:b/>
                <w:bCs/>
                <w:color w:val="8A6D00"/>
                <w:sz w:val="17"/>
                <w:szCs w:val="17"/>
              </w:rPr>
              <w:t xml:space="preserve">Weak</w:t>
            </w:r>
          </w:p>
        </w:tc>
        <w:tc>
          <w:tcPr>
            <w:tcW w:type="dxa" w:w="1820"/>
            <w:tcBorders>
              <w:top w:val="single" w:color="BFBFBF" w:sz="1"/>
              <w:left w:val="single" w:color="BFBFBF" w:sz="1"/>
              <w:bottom w:val="single" w:color="BFBFBF" w:sz="1"/>
              <w:right w:val="single" w:color="BFBFBF" w:sz="1"/>
            </w:tcBorders>
            <w:shd w:fill="FFF2CC" w:val="clear"/>
            <w:tcMar>
              <w:top w:type="dxa" w:w="50"/>
              <w:left w:type="dxa" w:w="100"/>
              <w:bottom w:type="dxa" w:w="50"/>
              <w:right w:type="dxa" w:w="100"/>
            </w:tcMar>
            <w:vAlign w:val="center"/>
          </w:tcPr>
          <w:p>
            <w:r>
              <w:rPr>
                <w:b/>
                <w:bCs/>
                <w:color w:val="8A6D00"/>
                <w:sz w:val="17"/>
                <w:szCs w:val="17"/>
              </w:rPr>
              <w:t xml:space="preserve">Weak</w:t>
            </w:r>
          </w:p>
        </w:tc>
        <w:tc>
          <w:tcPr>
            <w:tcW w:type="dxa" w:w="1820"/>
            <w:tcBorders>
              <w:top w:val="single" w:color="BFBFBF" w:sz="1"/>
              <w:left w:val="single" w:color="BFBFBF" w:sz="1"/>
              <w:bottom w:val="single" w:color="BFBFBF" w:sz="1"/>
              <w:right w:val="single" w:color="BFBFBF" w:sz="1"/>
            </w:tcBorders>
            <w:shd w:fill="C6EFCE" w:val="clear"/>
            <w:tcMar>
              <w:top w:type="dxa" w:w="50"/>
              <w:left w:type="dxa" w:w="100"/>
              <w:bottom w:type="dxa" w:w="50"/>
              <w:right w:type="dxa" w:w="100"/>
            </w:tcMar>
            <w:vAlign w:val="center"/>
          </w:tcPr>
          <w:p>
            <w:r>
              <w:rPr>
                <w:b/>
                <w:bCs/>
                <w:color w:val="1E6B34"/>
                <w:sz w:val="17"/>
                <w:szCs w:val="17"/>
              </w:rPr>
              <w:t xml:space="preserve">Strong</w:t>
            </w:r>
          </w:p>
        </w:tc>
      </w:tr>
      <w:tr>
        <w:tc>
          <w:tcPr>
            <w:tcW w:type="dxa" w:w="3900"/>
            <w:tcBorders>
              <w:top w:val="single" w:color="BFBFBF" w:sz="1"/>
              <w:left w:val="single" w:color="BFBFBF" w:sz="1"/>
              <w:bottom w:val="single" w:color="BFBFBF" w:sz="1"/>
              <w:right w:val="single" w:color="BFBFBF" w:sz="1"/>
            </w:tcBorders>
            <w:shd w:fill="FFFFFF" w:val="clear"/>
            <w:tcMar>
              <w:top w:type="dxa" w:w="50"/>
              <w:left w:type="dxa" w:w="100"/>
              <w:bottom w:type="dxa" w:w="50"/>
              <w:right w:type="dxa" w:w="100"/>
            </w:tcMar>
            <w:vAlign w:val="center"/>
          </w:tcPr>
          <w:p>
            <w:r>
              <w:rPr>
                <w:b w:val="false"/>
                <w:bCs w:val="false"/>
                <w:color w:val="000000"/>
                <w:sz w:val="17"/>
                <w:szCs w:val="17"/>
              </w:rPr>
              <w:t xml:space="preserve">Multi-language auto-translate</w:t>
            </w:r>
          </w:p>
        </w:tc>
        <w:tc>
          <w:tcPr>
            <w:tcW w:type="dxa" w:w="1820"/>
            <w:tcBorders>
              <w:top w:val="single" w:color="BFBFBF" w:sz="1"/>
              <w:left w:val="single" w:color="BFBFBF" w:sz="1"/>
              <w:bottom w:val="single" w:color="BFBFBF" w:sz="1"/>
              <w:right w:val="single" w:color="BFBFBF" w:sz="1"/>
            </w:tcBorders>
            <w:shd w:fill="C6EFCE" w:val="clear"/>
            <w:tcMar>
              <w:top w:type="dxa" w:w="50"/>
              <w:left w:type="dxa" w:w="100"/>
              <w:bottom w:type="dxa" w:w="50"/>
              <w:right w:type="dxa" w:w="100"/>
            </w:tcMar>
            <w:vAlign w:val="center"/>
          </w:tcPr>
          <w:p>
            <w:r>
              <w:rPr>
                <w:b/>
                <w:bCs/>
                <w:color w:val="1E6B34"/>
                <w:sz w:val="17"/>
                <w:szCs w:val="17"/>
              </w:rPr>
              <w:t xml:space="preserve">Strong</w:t>
            </w:r>
          </w:p>
        </w:tc>
        <w:tc>
          <w:tcPr>
            <w:tcW w:type="dxa" w:w="1820"/>
            <w:tcBorders>
              <w:top w:val="single" w:color="BFBFBF" w:sz="1"/>
              <w:left w:val="single" w:color="BFBFBF" w:sz="1"/>
              <w:bottom w:val="single" w:color="BFBFBF" w:sz="1"/>
              <w:right w:val="single" w:color="BFBFBF" w:sz="1"/>
            </w:tcBorders>
            <w:shd w:fill="FFF2CC" w:val="clear"/>
            <w:tcMar>
              <w:top w:type="dxa" w:w="50"/>
              <w:left w:type="dxa" w:w="100"/>
              <w:bottom w:type="dxa" w:w="50"/>
              <w:right w:type="dxa" w:w="100"/>
            </w:tcMar>
            <w:vAlign w:val="center"/>
          </w:tcPr>
          <w:p>
            <w:r>
              <w:rPr>
                <w:b/>
                <w:bCs/>
                <w:color w:val="8A6D00"/>
                <w:sz w:val="17"/>
                <w:szCs w:val="17"/>
              </w:rPr>
              <w:t xml:space="preserve">Weak</w:t>
            </w:r>
          </w:p>
        </w:tc>
        <w:tc>
          <w:tcPr>
            <w:tcW w:type="dxa" w:w="1820"/>
            <w:tcBorders>
              <w:top w:val="single" w:color="BFBFBF" w:sz="1"/>
              <w:left w:val="single" w:color="BFBFBF" w:sz="1"/>
              <w:bottom w:val="single" w:color="BFBFBF" w:sz="1"/>
              <w:right w:val="single" w:color="BFBFBF" w:sz="1"/>
            </w:tcBorders>
            <w:shd w:fill="FFEB9C" w:val="clear"/>
            <w:tcMar>
              <w:top w:type="dxa" w:w="50"/>
              <w:left w:type="dxa" w:w="100"/>
              <w:bottom w:type="dxa" w:w="50"/>
              <w:right w:type="dxa" w:w="100"/>
            </w:tcMar>
            <w:vAlign w:val="center"/>
          </w:tcPr>
          <w:p>
            <w:r>
              <w:rPr>
                <w:b/>
                <w:bCs/>
                <w:color w:val="8A6D00"/>
                <w:sz w:val="17"/>
                <w:szCs w:val="17"/>
              </w:rPr>
              <w:t xml:space="preserve">Adequate</w:t>
            </w:r>
          </w:p>
        </w:tc>
      </w:tr>
      <w:tr>
        <w:tc>
          <w:tcPr>
            <w:tcW w:type="dxa" w:w="3900"/>
            <w:tcBorders>
              <w:top w:val="single" w:color="BFBFBF" w:sz="1"/>
              <w:left w:val="single" w:color="BFBFBF" w:sz="1"/>
              <w:bottom w:val="single" w:color="BFBFBF" w:sz="1"/>
              <w:right w:val="single" w:color="BFBFBF" w:sz="1"/>
            </w:tcBorders>
            <w:shd w:fill="F2F5FB" w:val="clear"/>
            <w:tcMar>
              <w:top w:type="dxa" w:w="50"/>
              <w:left w:type="dxa" w:w="100"/>
              <w:bottom w:type="dxa" w:w="50"/>
              <w:right w:type="dxa" w:w="100"/>
            </w:tcMar>
            <w:vAlign w:val="center"/>
          </w:tcPr>
          <w:p>
            <w:r>
              <w:rPr>
                <w:b w:val="false"/>
                <w:bCs w:val="false"/>
                <w:color w:val="000000"/>
                <w:sz w:val="17"/>
                <w:szCs w:val="17"/>
              </w:rPr>
              <w:t xml:space="preserve">White-label multi-client</w:t>
            </w:r>
          </w:p>
        </w:tc>
        <w:tc>
          <w:tcPr>
            <w:tcW w:type="dxa" w:w="1820"/>
            <w:tcBorders>
              <w:top w:val="single" w:color="BFBFBF" w:sz="1"/>
              <w:left w:val="single" w:color="BFBFBF" w:sz="1"/>
              <w:bottom w:val="single" w:color="BFBFBF" w:sz="1"/>
              <w:right w:val="single" w:color="BFBFBF" w:sz="1"/>
            </w:tcBorders>
            <w:shd w:fill="C6EFCE" w:val="clear"/>
            <w:tcMar>
              <w:top w:type="dxa" w:w="50"/>
              <w:left w:type="dxa" w:w="100"/>
              <w:bottom w:type="dxa" w:w="50"/>
              <w:right w:type="dxa" w:w="100"/>
            </w:tcMar>
            <w:vAlign w:val="center"/>
          </w:tcPr>
          <w:p>
            <w:r>
              <w:rPr>
                <w:b/>
                <w:bCs/>
                <w:color w:val="1E6B34"/>
                <w:sz w:val="17"/>
                <w:szCs w:val="17"/>
              </w:rPr>
              <w:t xml:space="preserve">Strong</w:t>
            </w:r>
          </w:p>
        </w:tc>
        <w:tc>
          <w:tcPr>
            <w:tcW w:type="dxa" w:w="1820"/>
            <w:tcBorders>
              <w:top w:val="single" w:color="BFBFBF" w:sz="1"/>
              <w:left w:val="single" w:color="BFBFBF" w:sz="1"/>
              <w:bottom w:val="single" w:color="BFBFBF" w:sz="1"/>
              <w:right w:val="single" w:color="BFBFBF" w:sz="1"/>
            </w:tcBorders>
            <w:shd w:fill="F2F2F2" w:val="clear"/>
            <w:tcMar>
              <w:top w:type="dxa" w:w="50"/>
              <w:left w:type="dxa" w:w="100"/>
              <w:bottom w:type="dxa" w:w="50"/>
              <w:right w:type="dxa" w:w="100"/>
            </w:tcMar>
            <w:vAlign w:val="center"/>
          </w:tcPr>
          <w:p>
            <w:r>
              <w:rPr>
                <w:b/>
                <w:bCs/>
                <w:color w:val="595959"/>
                <w:sz w:val="17"/>
                <w:szCs w:val="17"/>
              </w:rPr>
              <w:t xml:space="preserve">N/A</w:t>
            </w:r>
          </w:p>
        </w:tc>
        <w:tc>
          <w:tcPr>
            <w:tcW w:type="dxa" w:w="1820"/>
            <w:tcBorders>
              <w:top w:val="single" w:color="BFBFBF" w:sz="1"/>
              <w:left w:val="single" w:color="BFBFBF" w:sz="1"/>
              <w:bottom w:val="single" w:color="BFBFBF" w:sz="1"/>
              <w:right w:val="single" w:color="BFBFBF" w:sz="1"/>
            </w:tcBorders>
            <w:shd w:fill="F2F2F2" w:val="clear"/>
            <w:tcMar>
              <w:top w:type="dxa" w:w="50"/>
              <w:left w:type="dxa" w:w="100"/>
              <w:bottom w:type="dxa" w:w="50"/>
              <w:right w:type="dxa" w:w="100"/>
            </w:tcMar>
            <w:vAlign w:val="center"/>
          </w:tcPr>
          <w:p>
            <w:r>
              <w:rPr>
                <w:b/>
                <w:bCs/>
                <w:color w:val="595959"/>
                <w:sz w:val="17"/>
                <w:szCs w:val="17"/>
              </w:rPr>
              <w:t xml:space="preserve">N/A</w:t>
            </w:r>
          </w:p>
        </w:tc>
      </w:tr>
    </w:tbl>
    <w:p>
      <w:pPr>
        <w:pStyle w:val="Heading1"/>
      </w:pPr>
      <w:r>
        <w:t xml:space="preserve">4. Strengths &amp; Weaknesses</w:t>
      </w:r>
    </w:p>
    <w:p>
      <w:pPr>
        <w:pStyle w:val="Heading2"/>
      </w:pPr>
      <w:r>
        <w:t xml:space="preserve">Where CP Portal is genuinely strong</w:t>
      </w:r>
    </w:p>
    <w:p>
      <w:pPr>
        <w:pStyle w:val="ListParagraph"/>
        <w:numPr>
          <w:ilvl w:val="0"/>
          <w:numId w:val="2"/>
        </w:numPr>
        <w:spacing w:after="70"/>
      </w:pPr>
      <w:r>
        <w:rPr>
          <w:b/>
          <w:bCs/>
        </w:rPr>
        <w:t xml:space="preserve">White-label multi-client platform — </w:t>
      </w:r>
      <w:r>
        <w:t xml:space="preserve">our structural advantage. Member sites are single-company; we onboard and brand many clients on one platform with no code change.</w:t>
      </w:r>
    </w:p>
    <w:p>
      <w:pPr>
        <w:pStyle w:val="ListParagraph"/>
        <w:numPr>
          <w:ilvl w:val="0"/>
          <w:numId w:val="2"/>
        </w:numPr>
        <w:spacing w:after="70"/>
      </w:pPr>
      <w:r>
        <w:rPr>
          <w:b/>
          <w:bCs/>
        </w:rPr>
        <w:t xml:space="preserve">Six-language auto-translation — </w:t>
      </w:r>
      <w:r>
        <w:t xml:space="preserve">translation on publish is rare at the member-site level. It is a real differentiator for EU multi-market clients — with a caveat noted below.</w:t>
      </w:r>
    </w:p>
    <w:p>
      <w:pPr>
        <w:pStyle w:val="ListParagraph"/>
        <w:numPr>
          <w:ilvl w:val="0"/>
          <w:numId w:val="2"/>
        </w:numPr>
        <w:spacing w:after="70"/>
      </w:pPr>
      <w:r>
        <w:rPr>
          <w:b/>
          <w:bCs/>
        </w:rPr>
        <w:t xml:space="preserve">MSL directory and booking — </w:t>
      </w:r>
      <w:r>
        <w:t xml:space="preserve">only ~21% of member sites let HCPs identify a local rep; we go further with a bookable directory.</w:t>
      </w:r>
    </w:p>
    <w:p>
      <w:pPr>
        <w:pStyle w:val="ListParagraph"/>
        <w:numPr>
          <w:ilvl w:val="0"/>
          <w:numId w:val="2"/>
        </w:numPr>
        <w:spacing w:after="70"/>
      </w:pPr>
      <w:r>
        <w:rPr>
          <w:b/>
          <w:bCs/>
        </w:rPr>
        <w:t xml:space="preserve">Immutable audit trail — </w:t>
      </w:r>
      <w:r>
        <w:t xml:space="preserve">full admin audit logging is stronger than many single-company sites and helps in regulated environments.</w:t>
      </w:r>
    </w:p>
    <w:p>
      <w:pPr>
        <w:pStyle w:val="Heading2"/>
      </w:pPr>
      <w:r>
        <w:t xml:space="preserve">Where we fall short</w:t>
      </w:r>
    </w:p>
    <w:p>
      <w:pPr>
        <w:pStyle w:val="ListParagraph"/>
        <w:numPr>
          <w:ilvl w:val="0"/>
          <w:numId w:val="2"/>
        </w:numPr>
        <w:spacing w:after="70"/>
      </w:pPr>
      <w:r>
        <w:rPr>
          <w:b/>
          <w:bCs/>
        </w:rPr>
        <w:t xml:space="preserve">No adverse-event handling — </w:t>
      </w:r>
      <w:r>
        <w:t xml:space="preserve">every medical-information channel in the EU (GVP Module VI) and US is expected to detect and route adverse events. We have none. This is the single most serious gap.</w:t>
      </w:r>
    </w:p>
    <w:p>
      <w:pPr>
        <w:pStyle w:val="ListParagraph"/>
        <w:numPr>
          <w:ilvl w:val="0"/>
          <w:numId w:val="2"/>
        </w:numPr>
        <w:spacing w:after="70"/>
      </w:pPr>
      <w:r>
        <w:rPr>
          <w:b/>
          <w:bCs/>
        </w:rPr>
        <w:t xml:space="preserve">Chatbot is not a grounded AI assistant — </w:t>
      </w:r>
      <w:r>
        <w:t xml:space="preserve">we can enable/configure a chatbox, but it is not a generative retrieval assistant answering from approved content with escalation. The leading edge already treats this as the primary interface.</w:t>
      </w:r>
    </w:p>
    <w:p>
      <w:pPr>
        <w:pStyle w:val="ListParagraph"/>
        <w:numPr>
          <w:ilvl w:val="0"/>
          <w:numId w:val="2"/>
        </w:numPr>
        <w:spacing w:after="70"/>
      </w:pPr>
      <w:r>
        <w:rPr>
          <w:b/>
          <w:bCs/>
        </w:rPr>
        <w:t xml:space="preserve">No verified HCP identity — </w:t>
      </w:r>
      <w:r>
        <w:t xml:space="preserve">we gate by self-declared user type, not validated identity (OneKey / NPI / Veeva OpenData). This weakens trust and blocks reliable PV follow-up.</w:t>
      </w:r>
    </w:p>
    <w:p>
      <w:pPr>
        <w:pStyle w:val="ListParagraph"/>
        <w:numPr>
          <w:ilvl w:val="0"/>
          <w:numId w:val="2"/>
        </w:numPr>
        <w:spacing w:after="70"/>
      </w:pPr>
      <w:r>
        <w:rPr>
          <w:b/>
          <w:bCs/>
        </w:rPr>
        <w:t xml:space="preserve">Integration is configuration, not connection — </w:t>
      </w:r>
      <w:r>
        <w:t xml:space="preserve">we have CRM field-mapping config but no live connector; the MIMS link is planned, not built.</w:t>
      </w:r>
    </w:p>
    <w:p>
      <w:pPr>
        <w:pStyle w:val="ListParagraph"/>
        <w:numPr>
          <w:ilvl w:val="0"/>
          <w:numId w:val="2"/>
        </w:numPr>
        <w:spacing w:after="70"/>
      </w:pPr>
      <w:r>
        <w:rPr>
          <w:b/>
          <w:bCs/>
        </w:rPr>
        <w:t xml:space="preserve">Translation-quality risk — </w:t>
      </w:r>
      <w:r>
        <w:t xml:space="preserve">the auto-translation engine is a free service. For regulated medical copy that is a quality and compliance risk that needs a review/lock step.</w:t>
      </w:r>
    </w:p>
    <w:p>
      <w:pPr>
        <w:pStyle w:val="Heading1"/>
      </w:pPr>
      <w:r>
        <w:t xml:space="preserve">5. Opportunities &amp; Threats</w:t>
      </w:r>
    </w:p>
    <w:p>
      <w:pPr>
        <w:pStyle w:val="Heading2"/>
      </w:pPr>
      <w:r>
        <w:t xml:space="preserve">Opportunities</w:t>
      </w:r>
    </w:p>
    <w:p>
      <w:pPr>
        <w:pStyle w:val="ListParagraph"/>
        <w:numPr>
          <w:ilvl w:val="0"/>
          <w:numId w:val="2"/>
        </w:numPr>
        <w:spacing w:after="70"/>
      </w:pPr>
      <w:r>
        <w:rPr>
          <w:b/>
          <w:bCs/>
        </w:rPr>
        <w:t xml:space="preserve">AI front door, done compliantly — </w:t>
      </w:r>
      <w:r>
        <w:t xml:space="preserve">the market is racing to GenAI but is nervous about compliance. A grounded assistant with built-in escalation and audit is a credible wedge, and it reuses our audit-trail strength.</w:t>
      </w:r>
    </w:p>
    <w:p>
      <w:pPr>
        <w:pStyle w:val="ListParagraph"/>
        <w:numPr>
          <w:ilvl w:val="0"/>
          <w:numId w:val="2"/>
        </w:numPr>
        <w:spacing w:after="70"/>
      </w:pPr>
      <w:r>
        <w:rPr>
          <w:b/>
          <w:bCs/>
        </w:rPr>
        <w:t xml:space="preserve">Multi-market EU play — </w:t>
      </w:r>
      <w:r>
        <w:t xml:space="preserve">our translation + multi-client model fits pharma companies running many EU country portals. Closing the AE/PV gap turns that fit into something sellable.</w:t>
      </w:r>
    </w:p>
    <w:p>
      <w:pPr>
        <w:pStyle w:val="ListParagraph"/>
        <w:numPr>
          <w:ilvl w:val="0"/>
          <w:numId w:val="2"/>
        </w:numPr>
        <w:spacing w:after="70"/>
      </w:pPr>
      <w:r>
        <w:rPr>
          <w:b/>
          <w:bCs/>
        </w:rPr>
        <w:t xml:space="preserve">MSL engagement — </w:t>
      </w:r>
      <w:r>
        <w:t xml:space="preserve">we already lead on local-rep access; deepening MSL booking, availability, and follow-up widens a gap competitors mostly ignore.</w:t>
      </w:r>
    </w:p>
    <w:p>
      <w:pPr>
        <w:pStyle w:val="Heading2"/>
      </w:pPr>
      <w:r>
        <w:t xml:space="preserve">Threats</w:t>
      </w:r>
    </w:p>
    <w:p>
      <w:pPr>
        <w:pStyle w:val="ListParagraph"/>
        <w:numPr>
          <w:ilvl w:val="0"/>
          <w:numId w:val="2"/>
        </w:numPr>
        <w:spacing w:after="70"/>
      </w:pPr>
      <w:r>
        <w:rPr>
          <w:b/>
          <w:bCs/>
        </w:rPr>
        <w:t xml:space="preserve">Enterprise incumbents move down-market — </w:t>
      </w:r>
      <w:r>
        <w:t xml:space="preserve">Veeva and IQVIA set the workflow/compliance ceiling. If they package a lighter offering, our parity gaps (AE, CRM, MLR) become sharper.</w:t>
      </w:r>
    </w:p>
    <w:p>
      <w:pPr>
        <w:pStyle w:val="ListParagraph"/>
        <w:numPr>
          <w:ilvl w:val="0"/>
          <w:numId w:val="2"/>
        </w:numPr>
        <w:spacing w:after="70"/>
      </w:pPr>
      <w:r>
        <w:rPr>
          <w:b/>
          <w:bCs/>
        </w:rPr>
        <w:t xml:space="preserve">AI raises the baseline fast — </w:t>
      </w:r>
      <w:r>
        <w:t xml:space="preserve">as GenAI assistants become expected, “no real AI” shifts from acceptable to disqualifying quickly.</w:t>
      </w:r>
    </w:p>
    <w:p>
      <w:pPr>
        <w:pStyle w:val="ListParagraph"/>
        <w:numPr>
          <w:ilvl w:val="0"/>
          <w:numId w:val="2"/>
        </w:numPr>
        <w:spacing w:after="70"/>
      </w:pPr>
      <w:r>
        <w:rPr>
          <w:b/>
          <w:bCs/>
        </w:rPr>
        <w:t xml:space="preserve">Regulatory exposure — </w:t>
      </w:r>
      <w:r>
        <w:t xml:space="preserve">shipping an EU medical-information portal without AE handling is not just a feature gap; it is a compliance risk for us and our clients.</w:t>
      </w:r>
    </w:p>
    <w:p>
      <w:pPr>
        <w:pStyle w:val="Heading1"/>
      </w:pPr>
      <w:r>
        <w:t xml:space="preserve">6. Strategic Implications</w:t>
      </w:r>
    </w:p>
    <w:p>
      <w:pPr>
        <w:pStyle w:val="ListParagraph"/>
        <w:numPr>
          <w:ilvl w:val="0"/>
          <w:numId w:val="2"/>
        </w:numPr>
        <w:spacing w:after="70"/>
      </w:pPr>
      <w:r>
        <w:rPr>
          <w:b/>
          <w:bCs/>
        </w:rPr>
        <w:t xml:space="preserve">Differentiate where we already lead: </w:t>
      </w:r>
      <w:r>
        <w:t xml:space="preserve">multi-client white-labeling, multi-language, and MSL engagement. Protect and deepen these — do not let them erode while we chase parity.</w:t>
      </w:r>
    </w:p>
    <w:p>
      <w:pPr>
        <w:pStyle w:val="ListParagraph"/>
        <w:numPr>
          <w:ilvl w:val="0"/>
          <w:numId w:val="2"/>
        </w:numPr>
        <w:spacing w:after="70"/>
      </w:pPr>
      <w:r>
        <w:rPr>
          <w:b/>
          <w:bCs/>
        </w:rPr>
        <w:t xml:space="preserve">Reach parity where absence is disqualifying: </w:t>
      </w:r>
      <w:r>
        <w:t xml:space="preserve">adverse-event handling, verified HCP identity, and live CRM integration are not differentiators — they are the price of being taken seriously, especially in the EU.</w:t>
      </w:r>
    </w:p>
    <w:p>
      <w:pPr>
        <w:pStyle w:val="ListParagraph"/>
        <w:numPr>
          <w:ilvl w:val="0"/>
          <w:numId w:val="2"/>
        </w:numPr>
        <w:spacing w:after="70"/>
      </w:pPr>
      <w:r>
        <w:rPr>
          <w:b/>
          <w:bCs/>
        </w:rPr>
        <w:t xml:space="preserve">Follow the market's own roadmap: </w:t>
      </w:r>
      <w:r>
        <w:t xml:space="preserve">the industry named its three-year priorities (interactive SRDs, AI/ML search, personalization, omnichannel). We can use that as a validated backlog rather than guessing.</w:t>
      </w:r>
    </w:p>
    <w:p>
      <w:pPr>
        <w:pStyle w:val="ListParagraph"/>
        <w:numPr>
          <w:ilvl w:val="0"/>
          <w:numId w:val="2"/>
        </w:numPr>
        <w:spacing w:after="70"/>
      </w:pPr>
      <w:r>
        <w:rPr>
          <w:b/>
          <w:bCs/>
        </w:rPr>
        <w:t xml:space="preserve">Sequence AI as a compliant assistant, not a bolt-on chatbot: </w:t>
      </w:r>
      <w:r>
        <w:t xml:space="preserve">ground it in approved SRDs, wire escalation and audit from day one. This converts a weakness into a differentiator.</w:t>
      </w:r>
    </w:p>
    <w:p>
      <w:pPr>
        <w:pStyle w:val="Heading1"/>
      </w:pPr>
      <w:r>
        <w:t xml:space="preserve">7. Recommended Build Priorities</w:t>
      </w:r>
    </w:p>
    <w:p>
      <w:pPr>
        <w:spacing w:after="120" w:line="276"/>
      </w:pPr>
      <w:r>
        <w:t xml:space="preserve">Full detail, effort estimates, and rationale are in the companion matrix (Gaps &amp; Roadmap Priorities tab). Headline sequence:</w:t>
      </w:r>
    </w:p>
    <w:p>
      <w:pPr>
        <w:pStyle w:val="Heading2"/>
      </w:pPr>
      <w:r>
        <w:t xml:space="preserve">P1 — do first</w:t>
      </w:r>
    </w:p>
    <w:p>
      <w:pPr>
        <w:pStyle w:val="ListParagraph"/>
        <w:numPr>
          <w:ilvl w:val="0"/>
          <w:numId w:val="2"/>
        </w:numPr>
        <w:spacing w:after="70"/>
      </w:pPr>
      <w:r>
        <w:rPr>
          <w:b/>
          <w:bCs/>
        </w:rPr>
        <w:t xml:space="preserve">Adverse-event (AE/PV) capture &amp; routing — </w:t>
      </w:r>
      <w:r>
        <w:t xml:space="preserve">closes the top regulatory gap; unblocks EU go-live. Medium effort.</w:t>
      </w:r>
    </w:p>
    <w:p>
      <w:pPr>
        <w:pStyle w:val="ListParagraph"/>
        <w:numPr>
          <w:ilvl w:val="0"/>
          <w:numId w:val="2"/>
        </w:numPr>
        <w:spacing w:after="70"/>
      </w:pPr>
      <w:r>
        <w:rPr>
          <w:b/>
          <w:bCs/>
        </w:rPr>
        <w:t xml:space="preserve">Grounded GenAI medical assistant + human escalation — </w:t>
      </w:r>
      <w:r>
        <w:t xml:space="preserve">puts us on the market's trajectory; leans on our audit strength. Large effort, highest strategic value.</w:t>
      </w:r>
    </w:p>
    <w:p>
      <w:pPr>
        <w:pStyle w:val="ListParagraph"/>
        <w:numPr>
          <w:ilvl w:val="0"/>
          <w:numId w:val="2"/>
        </w:numPr>
        <w:spacing w:after="70"/>
      </w:pPr>
      <w:r>
        <w:rPr>
          <w:b/>
          <w:bCs/>
        </w:rPr>
        <w:t xml:space="preserve">Verified HCP validation (OneKey / NPI / OpenData) — </w:t>
      </w:r>
      <w:r>
        <w:t xml:space="preserve">foundation for trust, access control, and PV follow-up. Medium effort.</w:t>
      </w:r>
    </w:p>
    <w:p>
      <w:pPr>
        <w:pStyle w:val="Heading2"/>
      </w:pPr>
      <w:r>
        <w:t xml:space="preserve">P2 — next</w:t>
      </w:r>
    </w:p>
    <w:p>
      <w:pPr>
        <w:pStyle w:val="ListParagraph"/>
        <w:numPr>
          <w:ilvl w:val="0"/>
          <w:numId w:val="2"/>
        </w:numPr>
        <w:spacing w:after="70"/>
      </w:pPr>
      <w:r>
        <w:t xml:space="preserve">AI / semantic search over content (reuses the GenAI investment).</w:t>
      </w:r>
    </w:p>
    <w:p>
      <w:pPr>
        <w:pStyle w:val="ListParagraph"/>
        <w:numPr>
          <w:ilvl w:val="0"/>
          <w:numId w:val="2"/>
        </w:numPr>
        <w:spacing w:after="70"/>
      </w:pPr>
      <w:r>
        <w:t xml:space="preserve">Live CRM / Veeva connector beyond field mapping.</w:t>
      </w:r>
    </w:p>
    <w:p>
      <w:pPr>
        <w:pStyle w:val="ListParagraph"/>
        <w:numPr>
          <w:ilvl w:val="0"/>
          <w:numId w:val="2"/>
        </w:numPr>
        <w:spacing w:after="70"/>
      </w:pPr>
      <w:r>
        <w:t xml:space="preserve">Omnichannel delivery — extend email to push / SMS / rep-triggered.</w:t>
      </w:r>
    </w:p>
    <w:p>
      <w:pPr>
        <w:pStyle w:val="ListParagraph"/>
        <w:numPr>
          <w:ilvl w:val="0"/>
          <w:numId w:val="2"/>
        </w:numPr>
        <w:spacing w:after="70"/>
      </w:pPr>
      <w:r>
        <w:t xml:space="preserve">Consent &amp; data-minimisation hardening alongside the AE workflow.</w:t>
      </w:r>
    </w:p>
    <w:p>
      <w:pPr>
        <w:pStyle w:val="Heading2"/>
      </w:pPr>
      <w:r>
        <w:t xml:space="preserve">P3 — later</w:t>
      </w:r>
    </w:p>
    <w:p>
      <w:pPr>
        <w:pStyle w:val="ListParagraph"/>
        <w:numPr>
          <w:ilvl w:val="0"/>
          <w:numId w:val="2"/>
        </w:numPr>
        <w:spacing w:after="70"/>
      </w:pPr>
      <w:r>
        <w:t xml:space="preserve">Interactive / structured SRDs to replace static PDFs.</w:t>
      </w:r>
    </w:p>
    <w:p>
      <w:pPr>
        <w:pStyle w:val="ListParagraph"/>
        <w:numPr>
          <w:ilvl w:val="0"/>
          <w:numId w:val="2"/>
        </w:numPr>
        <w:spacing w:after="70"/>
      </w:pPr>
      <w:r>
        <w:t xml:space="preserve">Personalization by specialty / behaviour (depends on P1 identity).</w:t>
      </w:r>
    </w:p>
    <w:p>
      <w:pPr>
        <w:pStyle w:val="ListParagraph"/>
        <w:numPr>
          <w:ilvl w:val="0"/>
          <w:numId w:val="2"/>
        </w:numPr>
        <w:spacing w:after="70"/>
      </w:pPr>
      <w:r>
        <w:t xml:space="preserve">Deeper engagement analytics and inquiry-trend insight.</w:t>
      </w:r>
    </w:p>
    <w:p>
      <w:pPr>
        <w:pStyle w:val="ListParagraph"/>
        <w:numPr>
          <w:ilvl w:val="0"/>
          <w:numId w:val="2"/>
        </w:numPr>
        <w:spacing w:after="70"/>
      </w:pPr>
      <w:r>
        <w:t xml:space="preserve">Translation-quality review/lock for approved regulated content.</w:t>
      </w:r>
    </w:p>
    <w:p>
      <w:pPr>
        <w:spacing w:before="220"/>
      </w:pPr>
      <w:r>
        <w:rPr>
          <w:i/>
          <w:iCs/>
          <w:color w:val="595959"/>
          <w:sz w:val="18"/>
          <w:szCs w:val="18"/>
        </w:rPr>
        <w:t xml:space="preserve">Note on method: ratings reflect the current CP Portal build (per the CP Portal memory) against observed market patterns from the phactMI benchmark surveys and public sources on Veeva/IQVIA and EU/US regulatory expectations. This is a directional product assessment, not a procurement-grade audit of any named competitor; where market data is a range or a minority behaviour, that is noted in the matrix. Competitive intelligence has a shelf life — revisit as the AI baseline shifts.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 Internal Product Document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595959"/>
        <w:sz w:val="16"/>
        <w:szCs w:val="16"/>
      </w:rPr>
      <w:t xml:space="preserve">Pharaxis One  •  CP Portal Competitive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5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9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 Portal — Competitive Brief &amp; Roadmap Priorities</dc:title>
  <dc:creator>Saad Rahman (CPO)</dc:creator>
  <cp:lastModifiedBy>Un-named</cp:lastModifiedBy>
  <cp:revision>1</cp:revision>
  <dcterms:created xsi:type="dcterms:W3CDTF">2026-07-08T07:42:09.838Z</dcterms:created>
  <dcterms:modified xsi:type="dcterms:W3CDTF">2026-07-08T07:42:09.840Z</dcterms:modified>
</cp:coreProperties>
</file>

<file path=docProps/custom.xml><?xml version="1.0" encoding="utf-8"?>
<Properties xmlns="http://schemas.openxmlformats.org/officeDocument/2006/custom-properties" xmlns:vt="http://schemas.openxmlformats.org/officeDocument/2006/docPropsVTypes"/>
</file>