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864"/>
          <w:sz w:val="60"/>
          <w:szCs w:val="60"/>
        </w:rPr>
        <w:t xml:space="preserve">CP PORTAL</w:t>
      </w:r>
    </w:p>
    <w:p>
      <w:pPr>
        <w:spacing w:after="0" w:before="80"/>
        <w:jc w:val="center"/>
      </w:pPr>
      <w:r>
        <w:rPr>
          <w:color w:val="2E75B6"/>
          <w:sz w:val="32"/>
          <w:szCs w:val="32"/>
        </w:rPr>
        <w:t xml:space="preserve">High-Level Feature Overview</w:t>
      </w:r>
    </w:p>
    <w:p>
      <w:pPr>
        <w:spacing w:after="0" w:before="400"/>
        <w:jc w:val="center"/>
      </w:pPr>
      <w:r>
        <w:rPr>
          <w:i/>
          <w:iCs/>
          <w:color w:val="595959"/>
          <w:sz w:val="22"/>
          <w:szCs w:val="22"/>
        </w:rPr>
        <w:t xml:space="preserve">White-Label Medical Information Portal Platform</w:t>
      </w:r>
    </w:p>
    <w:p>
      <w:pPr>
        <w:spacing w:after="0" w:before="1200"/>
        <w:jc w:val="center"/>
      </w:pPr>
      <w:r>
        <w:rPr>
          <w:sz w:val="20"/>
          <w:szCs w:val="20"/>
        </w:rPr>
        <w:t xml:space="preserve">Prepared by: Saad Rahman, Chief Product Officer</w:t>
      </w:r>
    </w:p>
    <w:p>
      <w:pPr>
        <w:spacing w:after="0" w:before="60"/>
        <w:jc w:val="center"/>
      </w:pPr>
      <w:r>
        <w:rPr>
          <w:sz w:val="20"/>
          <w:szCs w:val="20"/>
        </w:rPr>
        <w:t xml:space="preserve">For: Varun Karne, CTO</w:t>
      </w:r>
    </w:p>
    <w:p>
      <w:pPr>
        <w:spacing w:after="0" w:before="60"/>
        <w:jc w:val="center"/>
      </w:pPr>
      <w:r>
        <w:rPr>
          <w:color w:val="595959"/>
          <w:sz w:val="20"/>
          <w:szCs w:val="20"/>
        </w:rPr>
        <w:t xml:space="preserve">Date: 8 July 2026  •  Status: Stable (Maintenance / Hotfix Mode)</w:t>
      </w:r>
    </w:p>
    <w:p>
      <w:r>
        <w:br w:type="page"/>
      </w:r>
    </w:p>
    <w:p>
      <w:pPr>
        <w:spacing w:after="160"/>
      </w:pPr>
      <w:r>
        <w:rPr>
          <w:b/>
          <w:bCs/>
          <w:color w:val="1F3864"/>
          <w:sz w:val="26"/>
          <w:szCs w:val="26"/>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What CP Portal Is</w:t>
      </w:r>
    </w:p>
    <w:p>
      <w:pPr>
        <w:spacing w:after="120" w:line="276"/>
      </w:pPr>
      <w:r>
        <w:t xml:space="preserve">CP Portal is a white-label medical information portal platform for pharmaceutical companies. Each client — a pharma company — gets its own branded portal for healthcare professionals (HCPs) and patients, configured and managed centrally without a separate build per client.</w:t>
      </w:r>
    </w:p>
    <w:p>
      <w:pPr>
        <w:spacing w:after="120" w:line="276"/>
      </w:pPr>
      <w:r>
        <w:t xml:space="preserve">The platform is delivered as two connected surfaces in a single codebase:</w:t>
      </w:r>
    </w:p>
    <w:p>
      <w:pPr>
        <w:pStyle w:val="ListParagraph"/>
        <w:numPr>
          <w:ilvl w:val="0"/>
          <w:numId w:val="2"/>
        </w:numPr>
        <w:spacing w:after="60"/>
      </w:pPr>
      <w:r>
        <w:t xml:space="preserve">Admin Panel — the internal tool pharma clients use to configure and run their portal: branding, content, features, compliance, users, and analytics.</w:t>
      </w:r>
    </w:p>
    <w:p>
      <w:pPr>
        <w:pStyle w:val="ListParagraph"/>
        <w:numPr>
          <w:ilvl w:val="0"/>
          <w:numId w:val="2"/>
        </w:numPr>
        <w:spacing w:after="60"/>
      </w:pPr>
      <w:r>
        <w:t xml:space="preserve">Public Portal — the client-facing site HCPs and patients visit at /portal/:clientCode/, where the experience is shaped per client by feature flags and user-type gating.</w:t>
      </w:r>
    </w:p>
    <w:p>
      <w:pPr>
        <w:spacing w:after="120" w:line="276"/>
      </w:pPr>
      <w:r>
        <w:t xml:space="preserve">Positioning: CP Portal is the medical-affairs external interaction layer of Pharaxis One. It captures medical inquiries and serves approved content to the field, and is structured to hand submissions to MIMS for downstream processing when that integration is activated.</w:t>
      </w:r>
    </w:p>
    <w:p>
      <w:pPr>
        <w:pStyle w:val="Heading1"/>
      </w:pPr>
      <w:r>
        <w:t xml:space="preserve">2. 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Delivery model</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Multi-client, white-label. One platform serves many pharma clients, each fully branded and independently configured.</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Two surfaces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Admin Panel for configuration and management; Public Portal for HCPs and patients.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Configurability</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Branding, feature set, forms, compliance rules, and access are all client-configurable — no code changes to onboard or adjust a client.</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Languages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Six-language auto-translation (English, French, German, Spanish, Japanese, Chinese) applied automatically as content is published.</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Compliance-first</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GDPR/consent handling, user-type gating, immutable audit trail, and a content review queue are built into the workflow.</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Current status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Stable release, in maintenance / hotfix mode. All admin and portal capabilities are operational.</w:t>
            </w:r>
          </w:p>
        </w:tc>
      </w:tr>
    </w:tbl>
    <w:p>
      <w:pPr>
        <w:pStyle w:val="Heading1"/>
      </w:pPr>
      <w:r>
        <w:t xml:space="preserve">3. Admin Panel — Capabilities</w:t>
      </w:r>
    </w:p>
    <w:p>
      <w:pPr>
        <w:spacing w:after="120" w:line="276"/>
      </w:pPr>
      <w:r>
        <w:t xml:space="preserve">The Admin Panel is where a client sets up and operates its portal end to end. Capabilities group into six areas.</w:t>
      </w:r>
    </w:p>
    <w:p>
      <w:pPr>
        <w:pStyle w:val="Heading2"/>
      </w:pPr>
      <w:r>
        <w:t xml:space="preserve">3.1 Client &amp; Branding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Client management</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Central list of all clients with the ability to create and configure a new client portal.</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Client cockpit</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Per-client overview with a health score, key metrics, and a real recent-activity feed drawn from the audit trail.</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Branding</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Per-client control of colors, fonts, logos, favicon, and portal name so each portal matches the client's identity.</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Feature flags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Toggle individual portal features on or off per client to tailor exactly what HCPs and patients see.</w:t>
            </w:r>
          </w:p>
        </w:tc>
      </w:tr>
    </w:tbl>
    <w:p>
      <w:pPr>
        <w:pStyle w:val="Heading2"/>
      </w:pPr>
      <w:r>
        <w:t xml:space="preserve">3.2 Content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Therapeutic areas, drugs, events, resources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Manage the core medical content catalog per client across a unified content workspace.</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News &amp; announcements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Create and edit rich-text news posts, auto-translated on publish.</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Safety alerts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Publish safety alerts with severity levels, auto-translated on publish.</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Document library</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Upload and organize PDFs and documents into categories for portal users to access.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FAQ</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Maintain a categorized question-and-answer library, auto-translated on publish.</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MSL directory</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Add and edit Medical Science Liaison profiles surfaced to portal users.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Review queue</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Content pending review is queued with a live count badge, keeping publishing controlled.</w:t>
            </w:r>
          </w:p>
        </w:tc>
      </w:tr>
    </w:tbl>
    <w:p>
      <w:pPr>
        <w:pStyle w:val="Heading2"/>
      </w:pPr>
      <w:r>
        <w:t xml:space="preserve">3.3 Forms, Gating &amp;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Medical inquiry form builder</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Configure the fields of the medical inquiry submission form per client.</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User-type gate</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Define user types (HCP / Patient / Other) and a per-feature access matrix that controls what each type can reach.</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Integration configuration</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Map portal form fields to external CRM fields to feed downstream systems.</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AI chatbox configuration</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Enable/disable and configure the portal's AI chatbox, including its welcome message.</w:t>
            </w:r>
          </w:p>
        </w:tc>
      </w:tr>
    </w:tbl>
    <w:p>
      <w:pPr>
        <w:pStyle w:val="Heading2"/>
      </w:pPr>
      <w:r>
        <w:t xml:space="preserve">3.4 Users &amp;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Portal user management</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View and manage the HCP/patient accounts registered on a client's portal.</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Per-client admin users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Manage the admin accounts that can operate a given client's portal.</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Submissions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Review the medical inquiry submissions received through the portal.</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Feedback</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Review feedback submitted by portal users.</w:t>
            </w:r>
          </w:p>
        </w:tc>
      </w:tr>
    </w:tbl>
    <w:p>
      <w:pPr>
        <w:pStyle w:val="Heading2"/>
      </w:pPr>
      <w:r>
        <w:t xml:space="preserve">3.5 Compliance, Communication &amp;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Compliance configuration</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Set GDPR / consent rules by jurisdiction per client.</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Email settings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Configure SMTP and email templates for client communications.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Language settings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Enable languages per client and backfill translations across all content with a single action.</w:t>
            </w:r>
          </w:p>
        </w:tc>
      </w:tr>
    </w:tbl>
    <w:p>
      <w:pPr>
        <w:pStyle w:val="Heading2"/>
      </w:pPr>
      <w:r>
        <w:t xml:space="preserve">3.6 Analytics &amp;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Analytics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Page views, submission volumes, and user metrics per client.</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Audit trail</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Full, filterable log of every admin action (create, update, delete, enable, disable, upload) for accountability.</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Custom reports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Build and save report definitions for recurring reporting needs.</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Process Explorer</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Cross-cutting visibility into 47 admin and portal flows with hundreds of captured live events.</w:t>
            </w:r>
          </w:p>
        </w:tc>
      </w:tr>
    </w:tbl>
    <w:p>
      <w:pPr>
        <w:pStyle w:val="Heading1"/>
      </w:pPr>
      <w:r>
        <w:t xml:space="preserve">4. Public Portal — HCP &amp; Patient Experience</w:t>
      </w:r>
    </w:p>
    <w:p>
      <w:pPr>
        <w:spacing w:after="120" w:line="276"/>
      </w:pPr>
      <w:r>
        <w:t xml:space="preserve">The portal is the client-facing site. Which features appear is driven per client by feature flags, and access within them is governed by user-type gating. Safety and FAQ are always available.</w:t>
      </w:r>
    </w:p>
    <w:p>
      <w:pPr>
        <w:pStyle w:val="Heading2"/>
      </w:pPr>
      <w:r>
        <w:t xml:space="preserve">4.1 Information &amp;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Home</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Branded landing experience for the client's portal.</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Therapeutic areas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Browse therapeutic-area content curated by the client.</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Drug information</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Access approved drug information.</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News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Read client news and announcements, with detail views per post.</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Safety</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Access safety alerts — always available, not feature-gated.</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Document library</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View and open the client's published documents and PDFs.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Resources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Reach curated resource links.</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FAQ</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Self-serve answers to common questions — always available.</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Events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Discover client events and webinars.</w:t>
            </w:r>
          </w:p>
        </w:tc>
      </w:tr>
    </w:tbl>
    <w:p>
      <w:pPr>
        <w:pStyle w:val="Heading2"/>
      </w:pPr>
      <w:r>
        <w:t xml:space="preserve">4.2 Engagement &amp;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Medical inquiry submission</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Submit a medical inquiry through the client-configured form.</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Find an MSL</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Look up Medical Science Liaisons and request a meeting.</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Contact</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Reach the client through a contact path.</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AI chatbox</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Get assistance through the configurable in-portal chatbox where enabled.</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Feedback</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Share feedback directly from the portal.</w:t>
            </w:r>
          </w:p>
        </w:tc>
      </w:tr>
    </w:tbl>
    <w:p>
      <w:pPr>
        <w:pStyle w:val="Heading2"/>
      </w:pPr>
      <w:r>
        <w:t xml:space="preserve">4.3 Account &amp;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Registration &amp; email verification</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Self-register and verify email to create a portal account.</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My submissions</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Track the status of previously submitted inquiries.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Saved items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Bookmark news and documents for later.</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Preferences &amp; profile</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Manage account preferences and profile details.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Language switcher</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Switch the portal language when the client has enabled more than one.</w:t>
            </w:r>
          </w:p>
        </w:tc>
      </w:tr>
    </w:tbl>
    <w:p>
      <w:pPr>
        <w:pStyle w:val="Heading1"/>
      </w:pPr>
      <w:r>
        <w:t xml:space="preserve">5. Platform-Wide Capabilities</w:t>
      </w:r>
    </w:p>
    <w:p>
      <w:pPr>
        <w:spacing w:after="120" w:line="276"/>
      </w:pPr>
      <w:r>
        <w:t xml:space="preserve">A set of capabilities runs across both surfaces and defines how the platform behaves as a whole.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rPr>
          <w:tblHeader/>
        </w:trPr>
        <w:tc>
          <w:tcPr>
            <w:tcW w:type="dxa" w:w="3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Capability</w:t>
            </w:r>
          </w:p>
        </w:tc>
        <w:tc>
          <w:tcPr>
            <w:tcW w:type="dxa" w:w="6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vAlign w:val="center"/>
          </w:tcPr>
          <w:p>
            <w:r>
              <w:rPr>
                <w:b/>
                <w:bCs/>
                <w:color w:val="FFFFFF"/>
              </w:rPr>
              <w:t xml:space="preserve">What it does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Multi-client white-labeling</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Every client is fully branded and independently configured on shared infrastructure.</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Six-language auto-translation</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Content auto-translates on publish across English, French, German, Spanish, Japanese, and Chinese, with English fallback. The portal language switcher appears only when a client enables 2+ languages.</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Feature-flag gating</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Each portal's feature set is controlled per client, so two clients on the same platform can present very different experiences.</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User-type access control</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HCP / Patient / Other gating governs who can see and do what within a portal.</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Consent &amp; compliance</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Consent is captured and recorded, with GDPR jurisdiction rules configured per client.</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Audit trail</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Administrative actions are logged for oversight and accountability.</w:t>
            </w:r>
          </w:p>
        </w:tc>
      </w:tr>
      <w:tr>
        <w:tc>
          <w:tcPr>
            <w:tcW w:type="dxa" w:w="30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b/>
                <w:bCs/>
                <w:color w:val="1F3864"/>
              </w:rPr>
              <w:t xml:space="preserve">Notifications</w:t>
            </w:r>
          </w:p>
        </w:tc>
        <w:tc>
          <w:tcPr>
            <w:tcW w:type="dxa" w:w="630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t xml:space="preserve">Portal users receive in-app notifications, surfaced through a bell/unread indicator.</w:t>
            </w:r>
          </w:p>
        </w:tc>
      </w:tr>
      <w:tr>
        <w:tc>
          <w:tcPr>
            <w:tcW w:type="dxa" w:w="306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rPr>
                <w:b/>
                <w:bCs/>
                <w:color w:val="1F3864"/>
              </w:rPr>
              <w:t xml:space="preserve">Secure authentication</w:t>
            </w:r>
          </w:p>
        </w:tc>
        <w:tc>
          <w:tcPr>
            <w:tcW w:type="dxa" w:w="6300"/>
            <w:tcBorders>
              <w:top w:val="single" w:color="BFBFBF" w:sz="1"/>
              <w:left w:val="single" w:color="BFBFBF" w:sz="1"/>
              <w:bottom w:val="single" w:color="BFBFBF" w:sz="1"/>
              <w:right w:val="single" w:color="BFBFBF" w:sz="1"/>
            </w:tcBorders>
            <w:shd w:fill="F2F5FB" w:val="clear"/>
            <w:tcMar>
              <w:top w:type="dxa" w:w="70"/>
              <w:left w:type="dxa" w:w="120"/>
              <w:bottom w:type="dxa" w:w="70"/>
              <w:right w:type="dxa" w:w="120"/>
            </w:tcMar>
          </w:tcPr>
          <w:p>
            <w:r>
              <w:t xml:space="preserve">Separate, token-based authentication for admin and portal users, with session verification.</w:t>
            </w:r>
          </w:p>
        </w:tc>
      </w:tr>
    </w:tbl>
    <w:p>
      <w:pPr>
        <w:pStyle w:val="Heading1"/>
      </w:pPr>
      <w:r>
        <w:t xml:space="preserve">6. Position in the Wider Product</w:t>
      </w:r>
    </w:p>
    <w:p>
      <w:pPr>
        <w:spacing w:after="120" w:line="276"/>
      </w:pPr>
      <w:r>
        <w:t xml:space="preserve">CP Portal is the front door for external medical-affairs interaction in Pharaxis One. It is designed to operate alongside MIMS: CP Portal captures inquiries and serves approved content, and its REST API is already structured so that submissions can flow to MIMS for processing and outcomes can flow back into the portal. That MIMS integration is planned and not yet activated, but requires no structural change on the CP Portal side to receive updates.</w:t>
      </w:r>
    </w:p>
    <w:p>
      <w:pPr>
        <w:pStyle w:val="Heading1"/>
      </w:pPr>
      <w:r>
        <w:t xml:space="preserve">7. Current Status</w:t>
      </w:r>
    </w:p>
    <w:p>
      <w:pPr>
        <w:spacing w:after="120" w:line="276"/>
      </w:pPr>
      <w:r>
        <w:t xml:space="preserve">CP Portal is at a stable release and currently in maintenance / hotfix mode — no active feature sprint. The full admin panel and the full portal are operational, six-language auto-translation is live, and cross-flow visibility is available through Process Explorer. New feature work resumes only when directed.</w:t>
      </w:r>
    </w:p>
    <w:p>
      <w:pPr>
        <w:spacing w:before="240"/>
      </w:pPr>
      <w:r>
        <w:rPr>
          <w:i/>
          <w:iCs/>
          <w:color w:val="595959"/>
          <w:sz w:val="18"/>
          <w:szCs w:val="18"/>
        </w:rPr>
        <w:t xml:space="preserve">Note: This overview is a high-level, product-facing summary of current CP Portal capabilities. It is intentionally non-technical; underlying architecture, data model, and implementation detail are maintained separately in the CP Portal engineering documentation.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Confidential — Internal Product Document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6"/>
        <w:szCs w:val="16"/>
      </w:rPr>
      <w:t xml:space="preserve">Pharaxis One  •  CP Portal Feature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 Portal — High-Level Feature Overview</dc:title>
  <dc:creator>Saad Rahman (CPO)</dc:creator>
  <cp:lastModifiedBy>Un-named</cp:lastModifiedBy>
  <cp:revision>1</cp:revision>
  <dcterms:created xsi:type="dcterms:W3CDTF">2026-07-08T07:12:42.779Z</dcterms:created>
  <dcterms:modified xsi:type="dcterms:W3CDTF">2026-07-08T07:12:42.779Z</dcterms:modified>
</cp:coreProperties>
</file>

<file path=docProps/custom.xml><?xml version="1.0" encoding="utf-8"?>
<Properties xmlns="http://schemas.openxmlformats.org/officeDocument/2006/custom-properties" xmlns:vt="http://schemas.openxmlformats.org/officeDocument/2006/docPropsVTypes"/>
</file>