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b/>
          <w:bCs/>
          <w:color w:val="1F6F4A"/>
          <w:sz w:val="64"/>
          <w:szCs w:val="64"/>
        </w:rPr>
        <w:t xml:space="preserve">SRMS</w:t>
      </w:r>
    </w:p>
    <w:p>
      <w:pPr>
        <w:spacing w:after="300"/>
        <w:jc w:val="center"/>
      </w:pPr>
      <w:r>
        <w:rPr>
          <w:color w:val="1A1A1A"/>
          <w:sz w:val="30"/>
          <w:szCs w:val="30"/>
        </w:rPr>
        <w:t xml:space="preserve">Secure Records Management System</w:t>
      </w:r>
    </w:p>
    <w:p>
      <w:pPr>
        <w:spacing w:after="60"/>
        <w:jc w:val="center"/>
      </w:pPr>
      <w:r>
        <w:rPr>
          <w:i/>
          <w:iCs/>
          <w:color w:val="595959"/>
          <w:sz w:val="22"/>
          <w:szCs w:val="22"/>
        </w:rPr>
        <w:t xml:space="preserve">Personal Knowledge-Transfer Reference Document</w:t>
      </w:r>
    </w:p>
    <w:p>
      <w:pPr>
        <w:spacing w:after="800"/>
        <w:jc w:val="center"/>
      </w:pPr>
      <w:r>
        <w:rPr>
          <w:color w:val="595959"/>
          <w:sz w:val="20"/>
          <w:szCs w:val="20"/>
        </w:rPr>
        <w:t xml:space="preserve">Compiled by Rohith — for reverse KT to mentor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5F2EC" w:val="clear"/>
            <w:tcMar>
              <w:top w:type="dxa" w:w="120"/>
              <w:left w:type="dxa" w:w="160"/>
              <w:bottom w:type="dxa" w:w="120"/>
              <w:right w:type="dxa" w:w="160"/>
            </w:tcMar>
          </w:tcPr>
          <w:p>
            <w:pPr>
              <w:spacing w:after="80"/>
            </w:pPr>
            <w:r>
              <w:rPr>
                <w:b/>
                <w:bCs/>
                <w:color w:val="1F6F4A"/>
              </w:rPr>
              <w:t xml:space="preserve">How to use this document</w:t>
            </w:r>
          </w:p>
          <w:p>
            <w:pPr>
              <w:spacing w:after="40"/>
            </w:pPr>
            <w:r>
              <w:rPr>
                <w:sz w:val="21"/>
                <w:szCs w:val="21"/>
              </w:rPr>
              <w:t xml:space="preserve">This is a study + reverse-KT aid, not the official spec.</w:t>
            </w:r>
          </w:p>
          <w:p>
            <w:pPr>
              <w:spacing w:after="40"/>
            </w:pPr>
            <w:r>
              <w:rPr>
                <w:sz w:val="21"/>
                <w:szCs w:val="21"/>
              </w:rPr>
              <w:t xml:space="preserve">Read top to bottom once; then use the section headers as cue cards when explaining the system out loud.</w:t>
            </w:r>
          </w:p>
          <w:p>
            <w:pPr>
              <w:spacing w:after="40"/>
            </w:pPr>
            <w:r>
              <w:rPr>
                <w:sz w:val="21"/>
                <w:szCs w:val="21"/>
              </w:rPr>
              <w:t xml:space="preserve">Each section explains WHAT a component is, HOW it works mechanically, and WHY it exists — that third part is what makes a reverse KT convincing.</w:t>
            </w:r>
          </w:p>
        </w:tc>
      </w:tr>
    </w:tbl>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What SRMS Is, In One Breath</w:t>
      </w:r>
    </w:p>
    <w:p>
      <w:pPr>
        <w:spacing w:after="160"/>
      </w:pPr>
      <w:r>
        <w:t xml:space="preserve">SRMS (Secure Records Management System) is an internal tool that automatically collects reports/files generated by other banking applications, validates them, stores them in a compliant, tamper-controlled way, and lets authorised users search and retrieve them later — all to satisfy regulatory record-keeping obligations.</w:t>
      </w:r>
    </w:p>
    <w:p>
      <w:pPr>
        <w:spacing w:after="160"/>
      </w:pPr>
      <w:r>
        <w:t xml:space="preserve">It is built on top of DocStore, BNP's internal Document Management API/storage service. SRMS does not invent its own storage — it is a consumer that organises, validates, and fronts DocStore with rules specific to records management (retention, WORM, legal hold, regional segregation).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5F2EC" w:val="clear"/>
            <w:tcMar>
              <w:top w:type="dxa" w:w="120"/>
              <w:left w:type="dxa" w:w="160"/>
              <w:bottom w:type="dxa" w:w="120"/>
              <w:right w:type="dxa" w:w="160"/>
            </w:tcMar>
          </w:tcPr>
          <w:p>
            <w:pPr>
              <w:spacing w:after="80"/>
            </w:pPr>
            <w:r>
              <w:rPr>
                <w:b/>
                <w:bCs/>
                <w:color w:val="1F6F4A"/>
              </w:rPr>
              <w:t xml:space="preserve">One-line answer if your mentor asks “what does SRMS do?”</w:t>
            </w:r>
          </w:p>
          <w:p>
            <w:pPr>
              <w:spacing w:after="40"/>
            </w:pPr>
            <w:r>
              <w:rPr>
                <w:sz w:val="21"/>
                <w:szCs w:val="21"/>
              </w:rPr>
              <w:t xml:space="preserve">“It's an automated pipeline that ingests reports from source applications, checks they're valid and properly tagged, and files them away in a compliant, searchable, retention-controlled store — so the bank can prove, years later, exactly what record existed, when, and that it wasn't tampered with.”</w:t>
            </w:r>
          </w:p>
        </w:tc>
      </w:tr>
    </w:tbl>
    <w:p>
      <w:pPr>
        <w:pStyle w:val="Heading2"/>
      </w:pPr>
      <w:r>
        <w:t xml:space="preserve">1.1 Key terms (say these correctly and confidently)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6F4A" w:val="clear"/>
            <w:tcMar>
              <w:top w:type="dxa" w:w="80"/>
              <w:left w:type="dxa" w:w="120"/>
              <w:bottom w:type="dxa" w:w="80"/>
              <w:right w:type="dxa" w:w="120"/>
            </w:tcMar>
          </w:tcPr>
          <w:p>
            <w:r>
              <w:rPr>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F6F4A" w:val="clear"/>
            <w:tcMar>
              <w:top w:type="dxa" w:w="80"/>
              <w:left w:type="dxa" w:w="120"/>
              <w:bottom w:type="dxa" w:w="80"/>
              <w:right w:type="dxa" w:w="120"/>
            </w:tcMar>
          </w:tcPr>
          <w:p>
            <w:r>
              <w:rPr>
                <w:b/>
                <w:bCs/>
                <w:color w:val="FFFFFF"/>
                <w:sz w:val="20"/>
                <w:szCs w:val="20"/>
              </w:rPr>
              <w:t xml:space="preserve">Plain 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SRMS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whole system: NAS + Processing Service + DocStore + UI.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DocStore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CIB's internal Document Management API/storage service (S3-based). SRMS is one of several “consumers” of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Network-Attached Storage — a network drive used as the “landing zone” where source files arrive before processing.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 application (or sub-module of one) that sends reports into SRMS, e.g. Xelerate, Intellimatch, Atlas2.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 file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small plain-text manifest file that travels with a batch of reports and carries the batch's date/metadata.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Container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logical storage bucket inside DocStore, created per report type (or per report type + country).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Write Once Read Many — storage that cannot be modified/deleted once written, used for regulated records.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Legal Hold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flag on individual records that blocks deletion even after retention expires, for legal/litigation reasons.</w:t>
            </w:r>
          </w:p>
        </w:tc>
      </w:tr>
    </w:tbl>
    <w:p>
      <w:pPr>
        <w:spacing w:after="120"/>
      </w:pPr>
    </w:p>
    <w:p>
      <w:pPr>
        <w:pStyle w:val="Heading1"/>
      </w:pPr>
      <w:r>
        <w:t xml:space="preserve">2. The End-to-End Flow (walk this out loud, step by step)</w:t>
      </w:r>
    </w:p>
    <w:p>
      <w:pPr>
        <w:spacing w:after="160"/>
      </w:pPr>
      <w:r>
        <w:t xml:space="preserve">This is the sequence to recite when explaining the system — say each numbered step and the one-line ‘why’ next to it.</w:t>
      </w:r>
    </w:p>
    <w:p>
      <w:pPr>
        <w:pStyle w:val="Heading2"/>
      </w:pPr>
      <w:r>
        <w:t xml:space="preserve">Step 1 — Source application produces a report</w:t>
      </w:r>
    </w:p>
    <w:p>
      <w:pPr>
        <w:spacing w:after="160"/>
      </w:pPr>
      <w:r>
        <w:t xml:space="preserve">A banking application (e.g. Xelerate) finishes generating a scheduled report (daily/monthly), e.g. a billing invoice or a position reconciliation file.</w:t>
      </w:r>
    </w:p>
    <w:p>
      <w:pPr>
        <w:pStyle w:val="Heading2"/>
      </w:pPr>
      <w:r>
        <w:t xml:space="preserve">Step 2 — Source encrypts and names the file correctly</w:t>
      </w:r>
    </w:p>
    <w:p>
      <w:pPr>
        <w:pStyle w:val="ListParagraph"/>
        <w:numPr>
          <w:ilvl w:val="0"/>
          <w:numId w:val="2"/>
        </w:numPr>
        <w:spacing w:after="80"/>
      </w:pPr>
      <w:r>
        <w:t xml:space="preserve">The file is encrypted using SRMS's PGP public key — keeps it unreadable to anyone except SRMS while it is in transit.</w:t>
      </w:r>
    </w:p>
    <w:p>
      <w:pPr>
        <w:pStyle w:val="ListParagraph"/>
        <w:numPr>
          <w:ilvl w:val="0"/>
          <w:numId w:val="2"/>
        </w:numPr>
        <w:spacing w:after="80"/>
      </w:pPr>
      <w:r>
        <w:t xml:space="preserve">The filename must follow a pre-agreed pattern (validated later by regex) so SRMS can recognise it automatically.</w:t>
      </w:r>
    </w:p>
    <w:p>
      <w:pPr>
        <w:pStyle w:val="ListParagraph"/>
        <w:numPr>
          <w:ilvl w:val="0"/>
          <w:numId w:val="2"/>
        </w:numPr>
        <w:spacing w:after="80"/>
      </w:pPr>
      <w:r>
        <w:t xml:space="preserve">If this file is the last one in a batch, a companion .go file is also dropped, declaring the batch's report date/context.</w:t>
      </w:r>
    </w:p>
    <w:p>
      <w:pPr>
        <w:pStyle w:val="Heading2"/>
      </w:pPr>
      <w:r>
        <w:t xml:space="preserve">Step 3 — File transfer to SRMS's NAS landing folder</w:t>
      </w:r>
    </w:p>
    <w:p>
      <w:pPr>
        <w:spacing w:after="160"/>
      </w:pPr>
      <w:r>
        <w:t xml:space="preserve">The file travels over a secure transfer channel (SFTP, FTPS or HTTPS) using either the legacy CFT mechanism or the newer FTS mechanism, and lands in a folder dedicated to that specific source on the NAS.</w:t>
      </w:r>
    </w:p>
    <w:p>
      <w:pPr>
        <w:pStyle w:val="Heading2"/>
      </w:pPr>
      <w:r>
        <w:t xml:space="preserve">Step 4 — Scheduled pickup (every 30 minutes)</w:t>
      </w:r>
    </w:p>
    <w:p>
      <w:pPr>
        <w:spacing w:after="160"/>
      </w:pPr>
      <w:r>
        <w:t xml:space="preserve">An Autosys-scheduled timer job wakes up periodically, scans NAS for newly arrived files, and begins processing them as a batch — not instantly on arrival, to keep load predictable.</w:t>
      </w:r>
    </w:p>
    <w:p>
      <w:pPr>
        <w:pStyle w:val="Heading2"/>
      </w:pPr>
      <w:r>
        <w:t xml:space="preserve">Step 5 — Metadata extraction</w:t>
      </w:r>
    </w:p>
    <w:p>
      <w:pPr>
        <w:spacing w:after="160"/>
      </w:pPr>
      <w:r>
        <w:t xml:space="preserve">SRMS reads the .go file (and/or parses the filename itself) to pull out metadata: report date, country code, account ID, record type, etc. Nothing downstream can happen without this step succeeding.</w:t>
      </w:r>
    </w:p>
    <w:p>
      <w:pPr>
        <w:pStyle w:val="Heading2"/>
      </w:pPr>
      <w:r>
        <w:t xml:space="preserve">Step 6 — Validation</w:t>
      </w:r>
    </w:p>
    <w:p>
      <w:pPr>
        <w:spacing w:after="160"/>
      </w:pPr>
      <w:r>
        <w:t xml:space="preserve">The extracted metadata and filename are checked against the rules configured for that report type during onboarding (correct pattern, all mandatory fields present, .go file valid).</w:t>
      </w:r>
    </w:p>
    <w:p>
      <w:pPr>
        <w:pStyle w:val="Heading2"/>
      </w:pPr>
      <w:r>
        <w:t xml:space="preserve">Step 7 — Branch: success or exception</w:t>
      </w:r>
    </w:p>
    <w:p>
      <w:pPr>
        <w:pStyle w:val="ListParagraph"/>
        <w:numPr>
          <w:ilvl w:val="0"/>
          <w:numId w:val="2"/>
        </w:numPr>
        <w:spacing w:after="80"/>
      </w:pPr>
      <w:r>
        <w:rPr>
          <w:b/>
          <w:bCs/>
        </w:rPr>
        <w:t xml:space="preserve">Valid → </w:t>
      </w:r>
      <w:r>
        <w:t xml:space="preserve">file is decrypted, unzipped if needed, and pushed into DocStore via API, into the correct container, tagged with its metadata.</w:t>
      </w:r>
    </w:p>
    <w:p>
      <w:pPr>
        <w:pStyle w:val="ListParagraph"/>
        <w:numPr>
          <w:ilvl w:val="0"/>
          <w:numId w:val="2"/>
        </w:numPr>
        <w:spacing w:after="80"/>
      </w:pPr>
      <w:r>
        <w:rPr>
          <w:b/>
          <w:bCs/>
        </w:rPr>
        <w:t xml:space="preserve">Invalid → </w:t>
      </w:r>
      <w:r>
        <w:t xml:space="preserve">file is diverted to an exception folder instead, so bad/incomplete data never reaches the compliant store.</w:t>
      </w:r>
    </w:p>
    <w:p>
      <w:pPr>
        <w:pStyle w:val="Heading2"/>
      </w:pPr>
      <w:r>
        <w:t xml:space="preserve">Step 8 — Storage in DocStore</w:t>
      </w:r>
    </w:p>
    <w:p>
      <w:pPr>
        <w:spacing w:after="160"/>
      </w:pPr>
      <w:r>
        <w:t xml:space="preserve">The document is written into the correct container (by report type, sometimes further split by country), in the correct regional storage location, with the WORM/non-WORM mode that was configured for that report type at onboarding.</w:t>
      </w:r>
    </w:p>
    <w:p>
      <w:pPr>
        <w:pStyle w:val="Heading2"/>
      </w:pPr>
      <w:r>
        <w:t xml:space="preserve">Step 9 — Indexing</w:t>
      </w:r>
    </w:p>
    <w:p>
      <w:pPr>
        <w:spacing w:after="160"/>
      </w:pPr>
      <w:r>
        <w:t xml:space="preserve">A separate search/indexing layer (CIB Search) indexes the metadata — and, for unstructured content, a Data Hub structuring step — so the document becomes findable through search.</w:t>
      </w:r>
    </w:p>
    <w:p>
      <w:pPr>
        <w:pStyle w:val="Heading2"/>
      </w:pPr>
      <w:r>
        <w:t xml:space="preserve">Step 10 — Retrieval via UI</w:t>
      </w:r>
    </w:p>
    <w:p>
      <w:pPr>
        <w:spacing w:after="160"/>
      </w:pPr>
      <w:r>
        <w:t xml:space="preserve">An authorised user logs into the SRMS UI, runs a Metadata Search (or, where enabled, a Pattern Search), and views/downloads the record, subject to their role's permissions.</w:t>
      </w:r>
    </w:p>
    <w:p>
      <w:pPr>
        <w:pStyle w:val="Heading2"/>
      </w:pPr>
      <w:r>
        <w:t xml:space="preserve">Step 11 — End of life (retention → disposition)</w:t>
      </w:r>
    </w:p>
    <w:p>
      <w:pPr>
        <w:spacing w:after="160"/>
      </w:pPr>
      <w:r>
        <w:t xml:space="preserve">Once a record passes its configured retention period it becomes eligible for disposal — unless a Legal Hold has been placed on it, in which case it is protected from deletion until the hold is explicitly removed.</w:t>
      </w:r>
    </w:p>
    <w:p>
      <w:pPr>
        <w:spacing w:after="120"/>
      </w:pPr>
    </w:p>
    <w:p>
      <w:pPr>
        <w:pStyle w:val="Heading1"/>
      </w:pPr>
      <w:r>
        <w:t xml:space="preserve">3. File Transfer: Protocols, CFT vs FTS</w:t>
      </w:r>
    </w:p>
    <w:p>
      <w:pPr>
        <w:pStyle w:val="Heading2"/>
      </w:pPr>
      <w:r>
        <w:t xml:space="preserve">3.1 Why a “protocol” is needed at all</w:t>
      </w:r>
    </w:p>
    <w:p>
      <w:pPr>
        <w:spacing w:after="160"/>
      </w:pPr>
      <w:r>
        <w:t xml:space="preserve">Two systems moving a file across a network need an agreed method that's both reliable and secure. Plain FTP is unencrypted (anyone snooping the network could read it), so it's not used. SRMS supports three secure alternatives, registered per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F6F4A" w:val="clear"/>
            <w:tcMar>
              <w:top w:type="dxa" w:w="80"/>
              <w:left w:type="dxa" w:w="120"/>
              <w:bottom w:type="dxa" w:w="80"/>
              <w:right w:type="dxa" w:w="120"/>
            </w:tcMar>
          </w:tcPr>
          <w:p>
            <w:r>
              <w:rPr>
                <w:b/>
                <w:bCs/>
                <w:color w:val="FFFFFF"/>
                <w:sz w:val="20"/>
                <w:szCs w:val="20"/>
              </w:rPr>
              <w:t xml:space="preserve">Protocol</w:t>
            </w:r>
          </w:p>
        </w:tc>
        <w:tc>
          <w:tcPr>
            <w:tcW w:type="dxa" w:w="4200"/>
            <w:tcBorders>
              <w:top w:val="single" w:color="CCCCCC" w:sz="1"/>
              <w:left w:val="single" w:color="CCCCCC" w:sz="1"/>
              <w:bottom w:val="single" w:color="CCCCCC" w:sz="1"/>
              <w:right w:val="single" w:color="CCCCCC" w:sz="1"/>
            </w:tcBorders>
            <w:shd w:fill="1F6F4A" w:val="clear"/>
            <w:tcMar>
              <w:top w:type="dxa" w:w="80"/>
              <w:left w:type="dxa" w:w="120"/>
              <w:bottom w:type="dxa" w:w="80"/>
              <w:right w:type="dxa" w:w="120"/>
            </w:tcMar>
          </w:tcPr>
          <w:p>
            <w:r>
              <w:rPr>
                <w:b/>
                <w:bCs/>
                <w:color w:val="FFFFFF"/>
                <w:sz w:val="20"/>
                <w:szCs w:val="20"/>
              </w:rPr>
              <w:t xml:space="preserve">What it is</w:t>
            </w:r>
          </w:p>
        </w:tc>
        <w:tc>
          <w:tcPr>
            <w:tcW w:type="dxa" w:w="3360"/>
            <w:tcBorders>
              <w:top w:val="single" w:color="CCCCCC" w:sz="1"/>
              <w:left w:val="single" w:color="CCCCCC" w:sz="1"/>
              <w:bottom w:val="single" w:color="CCCCCC" w:sz="1"/>
              <w:right w:val="single" w:color="CCCCCC" w:sz="1"/>
            </w:tcBorders>
            <w:shd w:fill="1F6F4A" w:val="clear"/>
            <w:tcMar>
              <w:top w:type="dxa" w:w="80"/>
              <w:left w:type="dxa" w:w="120"/>
              <w:bottom w:type="dxa" w:w="80"/>
              <w:right w:type="dxa" w:w="120"/>
            </w:tcMar>
          </w:tcPr>
          <w:p>
            <w:r>
              <w:rPr>
                <w:b/>
                <w:bCs/>
                <w:color w:val="FFFFFF"/>
                <w:sz w:val="20"/>
                <w:szCs w:val="20"/>
              </w:rPr>
              <w:t xml:space="preserve">Used for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SFTP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File transfer running over SSH (encrypted tunnel).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App-to-app secure transfer.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FTPS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Classic FTP wrapped in TLS/SSL encryption.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Secure transfer (e.g. port 8021 in SRMS's registered artifact).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same secure protocol used by web browsers, exposed as an API.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API-driven uploads (e.g. port 8443).</w:t>
            </w:r>
          </w:p>
        </w:tc>
      </w:tr>
    </w:tbl>
    <w:p>
      <w:pPr>
        <w:spacing w:after="120"/>
      </w:pPr>
    </w:p>
    <w:p>
      <w:pPr>
        <w:pStyle w:val="Heading2"/>
      </w:pPr>
      <w:r>
        <w:t xml:space="preserve">3.2 CFT vs FTS — the actual mechanical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c>
          <w:tcPr>
            <w:tcW w:type="dxa" w:w="1600"/>
            <w:tcBorders>
              <w:top w:val="single" w:color="CCCCCC" w:sz="1"/>
              <w:left w:val="single" w:color="CCCCCC" w:sz="1"/>
              <w:bottom w:val="single" w:color="CCCCCC" w:sz="1"/>
              <w:right w:val="single" w:color="CCCCCC" w:sz="1"/>
            </w:tcBorders>
            <w:shd w:fill="1F6F4A" w:val="clear"/>
            <w:tcMar>
              <w:top w:type="dxa" w:w="80"/>
              <w:left w:type="dxa" w:w="120"/>
              <w:bottom w:type="dxa" w:w="80"/>
              <w:right w:type="dxa" w:w="120"/>
            </w:tcMar>
          </w:tcPr>
          <w:p>
            <w:r>
              <w:rPr>
                <w:b/>
                <w:bCs/>
                <w:color w:val="FFFFFF"/>
                <w:sz w:val="20"/>
                <w:szCs w:val="20"/>
              </w:rPr>
              <w:t xml:space="preserve"/>
            </w:r>
          </w:p>
        </w:tc>
        <w:tc>
          <w:tcPr>
            <w:tcW w:type="dxa" w:w="3760"/>
            <w:tcBorders>
              <w:top w:val="single" w:color="CCCCCC" w:sz="1"/>
              <w:left w:val="single" w:color="CCCCCC" w:sz="1"/>
              <w:bottom w:val="single" w:color="CCCCCC" w:sz="1"/>
              <w:right w:val="single" w:color="CCCCCC" w:sz="1"/>
            </w:tcBorders>
            <w:shd w:fill="1F6F4A" w:val="clear"/>
            <w:tcMar>
              <w:top w:type="dxa" w:w="80"/>
              <w:left w:type="dxa" w:w="120"/>
              <w:bottom w:type="dxa" w:w="80"/>
              <w:right w:type="dxa" w:w="120"/>
            </w:tcMar>
          </w:tcPr>
          <w:p>
            <w:r>
              <w:rPr>
                <w:b/>
                <w:bCs/>
                <w:color w:val="FFFFFF"/>
                <w:sz w:val="20"/>
                <w:szCs w:val="20"/>
              </w:rPr>
              <w:t xml:space="preserve">CFT (legacy)</w:t>
            </w:r>
          </w:p>
        </w:tc>
        <w:tc>
          <w:tcPr>
            <w:tcW w:type="dxa" w:w="4000"/>
            <w:tcBorders>
              <w:top w:val="single" w:color="CCCCCC" w:sz="1"/>
              <w:left w:val="single" w:color="CCCCCC" w:sz="1"/>
              <w:bottom w:val="single" w:color="CCCCCC" w:sz="1"/>
              <w:right w:val="single" w:color="CCCCCC" w:sz="1"/>
            </w:tcBorders>
            <w:shd w:fill="1F6F4A" w:val="clear"/>
            <w:tcMar>
              <w:top w:type="dxa" w:w="80"/>
              <w:left w:type="dxa" w:w="120"/>
              <w:bottom w:type="dxa" w:w="80"/>
              <w:right w:type="dxa" w:w="120"/>
            </w:tcMar>
          </w:tcPr>
          <w:p>
            <w:r>
              <w:rPr>
                <w:b/>
                <w:bCs/>
                <w:color w:val="FFFFFF"/>
                <w:sz w:val="20"/>
                <w:szCs w:val="20"/>
              </w:rPr>
              <w:t xml:space="preserve">FTS (current/replacing CFT)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Mechanism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plain shared network folder — source just writes a file into 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configured, named “flow” — a defined pipe between exactly one source and SRMS.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Middleware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middleware relay component historically sits in between.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middleware hop — source uploads directly into the flow, SRMS pulls directly from 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After delivery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File simply remains in the folder.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File auto-removes from the flow once SRMS downloads it — avoids duplicate copies &amp; shrinks the window sensitive data sits in transit.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Status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Being phased out — migrating to IV2 FTS.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forward-looking replacement.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5F2EC" w:val="clear"/>
            <w:tcMar>
              <w:top w:type="dxa" w:w="120"/>
              <w:left w:type="dxa" w:w="160"/>
              <w:bottom w:type="dxa" w:w="120"/>
              <w:right w:type="dxa" w:w="160"/>
            </w:tcMar>
          </w:tcPr>
          <w:p>
            <w:pPr>
              <w:spacing w:after="80"/>
            </w:pPr>
            <w:r>
              <w:rPr>
                <w:b/>
                <w:bCs/>
                <w:color w:val="1F6F4A"/>
              </w:rPr>
              <w:t xml:space="preserve">Why this matters operationally</w:t>
            </w:r>
          </w:p>
          <w:p>
            <w:pPr>
              <w:spacing w:after="40"/>
            </w:pPr>
            <w:r>
              <w:rPr>
                <w:sz w:val="21"/>
                <w:szCs w:val="21"/>
              </w:rPr>
              <w:t xml:space="preserve">If a file “didn't arrive”: for CFT, check the literal shared folder. For FTS, check the flow's transfer logs — the file may have already auto-removed after being successfully picked up, so an empty flow does NOT necessarily mean delivery failed.</w:t>
            </w:r>
          </w:p>
        </w:tc>
      </w:tr>
    </w:tbl>
    <w:p>
      <w:pPr>
        <w:pStyle w:val="Heading1"/>
      </w:pPr>
      <w:r>
        <w:t xml:space="preserve">4. NAS — The Landing Zone</w:t>
      </w:r>
    </w:p>
    <w:p>
      <w:pPr>
        <w:spacing w:after="160"/>
      </w:pPr>
      <w:r>
        <w:t xml:space="preserve">NAS (Network-Attached Storage) is just a dedicated, network-reachable storage server. SRMS uses it purely as a staging buffer between “file has arrived” and “file has been validated and stored permanently.”</w:t>
      </w:r>
    </w:p>
    <w:p>
      <w:pPr>
        <w:pStyle w:val="Heading2"/>
      </w:pPr>
      <w:r>
        <w:t xml:space="preserve">4.1 Real folder structure</w:t>
      </w:r>
    </w:p>
    <w:p>
      <w:pPr>
        <w:shd w:fill="F4F4F4" w:val="clear"/>
        <w:spacing w:after="160"/>
      </w:pPr>
      <w:r>
        <w:rPr>
          <w:rFonts w:ascii="Consolas" w:cs="Consolas" w:eastAsia="Consolas" w:hAnsi="Consolas"/>
          <w:sz w:val="20"/>
          <w:szCs w:val="20"/>
        </w:rPr>
        <w:t xml:space="preserve">\\nas.euro.net.intra\fr\stg\srms_emea_stg\Source\ATLAS2_2SBE</w:t>
      </w:r>
    </w:p>
    <w:p>
      <w:pPr>
        <w:pStyle w:val="ListParagraph"/>
        <w:numPr>
          <w:ilvl w:val="0"/>
          <w:numId w:val="2"/>
        </w:numPr>
        <w:spacing w:after="80"/>
      </w:pPr>
      <w:r>
        <w:t xml:space="preserve">nas.euro.net.intra — the NAS server's internal network address</w:t>
      </w:r>
    </w:p>
    <w:p>
      <w:pPr>
        <w:pStyle w:val="ListParagraph"/>
        <w:numPr>
          <w:ilvl w:val="0"/>
          <w:numId w:val="2"/>
        </w:numPr>
        <w:spacing w:after="80"/>
      </w:pPr>
      <w:r>
        <w:t xml:space="preserve">fr — physically hosted in France (matches EMEA's regional storage rule)</w:t>
      </w:r>
    </w:p>
    <w:p>
      <w:pPr>
        <w:pStyle w:val="ListParagraph"/>
        <w:numPr>
          <w:ilvl w:val="0"/>
          <w:numId w:val="2"/>
        </w:numPr>
        <w:spacing w:after="80"/>
      </w:pPr>
      <w:r>
        <w:t xml:space="preserve">srms_emea_stg — this share is dedicated to SRMS, EMEA region, staging environment</w:t>
      </w:r>
    </w:p>
    <w:p>
      <w:pPr>
        <w:pStyle w:val="ListParagraph"/>
        <w:numPr>
          <w:ilvl w:val="0"/>
          <w:numId w:val="2"/>
        </w:numPr>
        <w:spacing w:after="80"/>
      </w:pPr>
      <w:r>
        <w:t xml:space="preserve">Source\ATLAS2_2SBE — inside that, one dedicated folder per source/application</w:t>
      </w:r>
    </w:p>
    <w:p>
      <w:pPr>
        <w:spacing w:after="160"/>
      </w:pPr>
      <w:r>
        <w:t xml:space="preserve">General rule: NAS root → region/environment → Source → [one folder per application/source]. Multiple sources under one application team each get their own folder; each source folder may contain multiple data files but only ONE .go file.</w:t>
      </w:r>
    </w:p>
    <w:p>
      <w:pPr>
        <w:pStyle w:val="Heading2"/>
      </w:pPr>
      <w:r>
        <w:t xml:space="preserve">4.2 Why a staging buffer instead of writing straight to DocStore</w:t>
      </w:r>
    </w:p>
    <w:p>
      <w:pPr>
        <w:pStyle w:val="ListParagraph"/>
        <w:numPr>
          <w:ilvl w:val="0"/>
          <w:numId w:val="2"/>
        </w:numPr>
        <w:spacing w:after="80"/>
      </w:pPr>
      <w:r>
        <w:t xml:space="preserve">Files arrive at unpredictable times; NAS lets SRMS process them on its own schedule (every 30 min) rather than instantly.</w:t>
      </w:r>
    </w:p>
    <w:p>
      <w:pPr>
        <w:pStyle w:val="ListParagraph"/>
        <w:numPr>
          <w:ilvl w:val="0"/>
          <w:numId w:val="2"/>
        </w:numPr>
        <w:spacing w:after="80"/>
      </w:pPr>
      <w:r>
        <w:t xml:space="preserve">It's human-browsable — you can literally open the folder and look, unlike DocStore's object storage.</w:t>
      </w:r>
    </w:p>
    <w:p>
      <w:pPr>
        <w:pStyle w:val="ListParagraph"/>
        <w:numPr>
          <w:ilvl w:val="0"/>
          <w:numId w:val="2"/>
        </w:numPr>
        <w:spacing w:after="80"/>
      </w:pPr>
      <w:r>
        <w:t xml:space="preserve">It isolates raw, unvalidated files from the permanent, compliance-grade store — nothing reaches DocStore until validated.</w:t>
      </w:r>
    </w:p>
    <w:p>
      <w:pPr>
        <w:spacing w:after="120"/>
      </w:pPr>
    </w:p>
    <w:p>
      <w:pPr>
        <w:pStyle w:val="Heading1"/>
      </w:pPr>
      <w:r>
        <w:t xml:space="preserve">5. The .go File</w:t>
      </w:r>
    </w:p>
    <w:p>
      <w:pPr>
        <w:spacing w:after="160"/>
      </w:pPr>
      <w:r>
        <w:t xml:space="preserve">A .go file is simply a plain-text manifest — the “.go” extension is an SRMS naming convention, unrelated to the Go programming language.</w:t>
      </w:r>
    </w:p>
    <w:p>
      <w:pPr>
        <w:pStyle w:val="Heading2"/>
      </w:pPr>
      <w:r>
        <w:t xml:space="preserve">5.1 What it does</w:t>
      </w:r>
    </w:p>
    <w:p>
      <w:pPr>
        <w:spacing w:after="160"/>
      </w:pPr>
      <w:r>
        <w:t xml:space="preserve">It declares batch-level context (most importantly, the report date) for the set of files sitting beside it. Without it, SRMS has no reliable way to know whether a drop is complete or what date the batch belongs to.</w:t>
      </w:r>
    </w:p>
    <w:p>
      <w:pPr>
        <w:pStyle w:val="Heading2"/>
      </w:pPr>
      <w:r>
        <w:t xml:space="preserve">5.2 The hard rule</w:t>
      </w:r>
    </w:p>
    <w:p>
      <w:pPr>
        <w:spacing w:after="160"/>
      </w:pPr>
      <w:r>
        <w:t xml:space="preserve">Exactly one .go file per source folder — not per individual file. If a source has multiple sub-applications, each sub-application folder needs its own single .go file.</w:t>
      </w:r>
    </w:p>
    <w:p>
      <w:pPr>
        <w:pStyle w:val="Heading2"/>
      </w:pPr>
      <w:r>
        <w:t xml:space="preserve">5.3 What happens if it's missing or malformed</w:t>
      </w:r>
    </w:p>
    <w:p>
      <w:pPr>
        <w:spacing w:after="160"/>
      </w:pPr>
      <w:r>
        <w:t xml:space="preserve">The file cannot be assigned correct document-level metadata → it fails validation → it is routed to the exception folder instead of DocStore. This is precisely why the .go file is treated as mandatory, not optional.</w:t>
      </w:r>
    </w:p>
    <w:p>
      <w:pPr>
        <w:spacing w:after="120"/>
      </w:pPr>
    </w:p>
    <w:p>
      <w:pPr>
        <w:pStyle w:val="Heading1"/>
      </w:pPr>
      <w:r>
        <w:t xml:space="preserve">6. PGP Encryption — How It Actually Works</w:t>
      </w:r>
    </w:p>
    <w:p>
      <w:pPr>
        <w:spacing w:after="160"/>
      </w:pPr>
      <w:r>
        <w:t xml:space="preserve">PGP uses asymmetric encryption: two mathematically linked keys — a public key (for locking/encrypting) and a private key (for unlocking/decrypting). Data locked with the public key can only be unlocked with the matching private key.</w:t>
      </w:r>
    </w:p>
    <w:p>
      <w:pPr>
        <w:pStyle w:val="Heading2"/>
      </w:pPr>
      <w:r>
        <w:t xml:space="preserve">6.1 The exchange, step by step</w:t>
      </w:r>
    </w:p>
    <w:p>
      <w:pPr>
        <w:pStyle w:val="ListParagraph"/>
        <w:numPr>
          <w:ilvl w:val="0"/>
          <w:numId w:val="3"/>
        </w:numPr>
        <w:spacing w:after="80"/>
      </w:pPr>
      <w:r>
        <w:t xml:space="preserve">SRMS generates a key pair: one public key, one private key.</w:t>
      </w:r>
    </w:p>
    <w:p>
      <w:pPr>
        <w:pStyle w:val="ListParagraph"/>
        <w:numPr>
          <w:ilvl w:val="0"/>
          <w:numId w:val="3"/>
        </w:numPr>
        <w:spacing w:after="80"/>
      </w:pPr>
      <w:r>
        <w:t xml:space="preserve">SRMS distributes the public key to each source application.</w:t>
      </w:r>
    </w:p>
    <w:p>
      <w:pPr>
        <w:pStyle w:val="ListParagraph"/>
        <w:numPr>
          <w:ilvl w:val="0"/>
          <w:numId w:val="3"/>
        </w:numPr>
        <w:spacing w:after="80"/>
      </w:pPr>
      <w:r>
        <w:t xml:space="preserve">The source encrypts its report file with that public key → the file becomes unreadable to anyone without the private key → saved with a .pgp extension.</w:t>
      </w:r>
    </w:p>
    <w:p>
      <w:pPr>
        <w:pStyle w:val="ListParagraph"/>
        <w:numPr>
          <w:ilvl w:val="0"/>
          <w:numId w:val="3"/>
        </w:numPr>
        <w:spacing w:after="80"/>
      </w:pPr>
      <w:r>
        <w:t xml:space="preserve">The encrypted file is uploaded via FTS/CFT to NAS.</w:t>
      </w:r>
    </w:p>
    <w:p>
      <w:pPr>
        <w:pStyle w:val="ListParagraph"/>
        <w:numPr>
          <w:ilvl w:val="0"/>
          <w:numId w:val="3"/>
        </w:numPr>
        <w:spacing w:after="80"/>
      </w:pPr>
      <w:r>
        <w:t xml:space="preserve">SRMS, holding the private key, decrypts the file once it's ready to process it.</w:t>
      </w:r>
    </w:p>
    <w:p>
      <w:pPr>
        <w:spacing w:after="160"/>
      </w:pPr>
      <w:r>
        <w:t xml:space="preserve">Why this is safe in transit: even if intercepted mid-transfer, an attacker only sees unreadable ciphertext, because the private key never leaves SRMS.</w:t>
      </w:r>
    </w:p>
    <w:p>
      <w:pPr>
        <w:pStyle w:val="Heading2"/>
      </w:pPr>
      <w:r>
        <w:t xml:space="preserve">6.2 Signing (a related but separate concept)</w:t>
      </w:r>
    </w:p>
    <w:p>
      <w:pPr>
        <w:spacing w:after="160"/>
      </w:pPr>
      <w:r>
        <w:t xml:space="preserve">Signing runs in the opposite direction: the source signs with its OWN private key, and SRMS verifies using the source's public key. This proves authenticity/integrity (who really sent it, and that it wasn't altered) — separate from encryption, which only provides confidentiality.</w:t>
      </w:r>
    </w:p>
    <w:p>
      <w:pPr>
        <w:spacing w:after="120"/>
      </w:pPr>
    </w:p>
    <w:p>
      <w:pPr>
        <w:pStyle w:val="Heading1"/>
      </w:pPr>
      <w:r>
        <w:t xml:space="preserve">7. DocStore — The Storage Backend, In Depth</w:t>
      </w:r>
    </w:p>
    <w:p>
      <w:pPr>
        <w:spacing w:after="160"/>
      </w:pPr>
      <w:r>
        <w:t xml:space="preserve">DocStore is itself a separately registered internal application (its own artifact ID), built on S3-style object storage. SRMS is one “consumer” of DocStore among potentially several other systems.</w:t>
      </w:r>
    </w:p>
    <w:p>
      <w:pPr>
        <w:pStyle w:val="Heading2"/>
      </w:pPr>
      <w:r>
        <w:t xml:space="preserve">7.1 The storage hierarchy</w:t>
      </w:r>
    </w:p>
    <w:p>
      <w:pPr>
        <w:shd w:fill="F4F4F4" w:val="clear"/>
        <w:spacing w:after="160"/>
      </w:pPr>
      <w:r>
        <w:rPr>
          <w:rFonts w:ascii="Consolas" w:cs="Consolas" w:eastAsia="Consolas" w:hAnsi="Consolas"/>
          <w:sz w:val="20"/>
          <w:szCs w:val="20"/>
        </w:rPr>
        <w:t xml:space="preserve">DSAPI  →  Buckets  →  Consumers  →  SRMSWORM  →  Container  →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6F4A" w:val="clear"/>
            <w:tcMar>
              <w:top w:type="dxa" w:w="80"/>
              <w:left w:type="dxa" w:w="120"/>
              <w:bottom w:type="dxa" w:w="80"/>
              <w:right w:type="dxa" w:w="120"/>
            </w:tcMar>
          </w:tcPr>
          <w:p>
            <w:r>
              <w:rPr>
                <w:b/>
                <w:bCs/>
                <w:color w:val="FFFFFF"/>
                <w:sz w:val="20"/>
                <w:szCs w:val="20"/>
              </w:rPr>
              <w:t xml:space="preserve">Layer</w:t>
            </w:r>
          </w:p>
        </w:tc>
        <w:tc>
          <w:tcPr>
            <w:tcW w:type="dxa" w:w="7160"/>
            <w:tcBorders>
              <w:top w:val="single" w:color="CCCCCC" w:sz="1"/>
              <w:left w:val="single" w:color="CCCCCC" w:sz="1"/>
              <w:bottom w:val="single" w:color="CCCCCC" w:sz="1"/>
              <w:right w:val="single" w:color="CCCCCC" w:sz="1"/>
            </w:tcBorders>
            <w:shd w:fill="1F6F4A" w:val="clear"/>
            <w:tcMar>
              <w:top w:type="dxa" w:w="80"/>
              <w:left w:type="dxa" w:w="120"/>
              <w:bottom w:type="dxa" w:w="80"/>
              <w:right w:type="dxa" w:w="120"/>
            </w:tcMar>
          </w:tcPr>
          <w:p>
            <w:r>
              <w:rPr>
                <w:b/>
                <w:bCs/>
                <w:color w:val="FFFFFF"/>
                <w:sz w:val="20"/>
                <w:szCs w:val="20"/>
              </w:rPr>
              <w:t xml:space="preserve">What it means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DSAPI</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Store API — the entry point everything talks 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Buckets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Top-level storage divisions inside DSAPI.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Consumers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Different applications using DocStore; SRMS is one consumer among others.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SRMSWORM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specific bucket/space dedicated to SRMS's WORM-compliant storage.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Container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Created per report type, sometimes further split by country (smaller hierarchy).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actual stored file, tagged with its metadata.</w:t>
            </w:r>
          </w:p>
        </w:tc>
      </w:tr>
    </w:tbl>
    <w:p>
      <w:pPr>
        <w:spacing w:after="120"/>
      </w:pPr>
    </w:p>
    <w:p>
      <w:pPr>
        <w:pStyle w:val="Heading2"/>
      </w:pPr>
      <w:r>
        <w:t xml:space="preserve">7.2 Why this layered structure exists (not just one flat pile of files)</w:t>
      </w:r>
    </w:p>
    <w:p>
      <w:pPr>
        <w:pStyle w:val="ListParagraph"/>
        <w:numPr>
          <w:ilvl w:val="0"/>
          <w:numId w:val="2"/>
        </w:numPr>
        <w:spacing w:after="80"/>
      </w:pPr>
      <w:r>
        <w:t xml:space="preserve">Access control can be applied at the container level (who can see which report type / country).</w:t>
      </w:r>
    </w:p>
    <w:p>
      <w:pPr>
        <w:pStyle w:val="ListParagraph"/>
        <w:numPr>
          <w:ilvl w:val="0"/>
          <w:numId w:val="2"/>
        </w:numPr>
        <w:spacing w:after="80"/>
      </w:pPr>
      <w:r>
        <w:t xml:space="preserve">Retention &amp; WORM rules differ by report type — applying them per-container keeps regulated and non-regulated data structurally separated.</w:t>
      </w:r>
    </w:p>
    <w:p>
      <w:pPr>
        <w:pStyle w:val="ListParagraph"/>
        <w:numPr>
          <w:ilvl w:val="0"/>
          <w:numId w:val="2"/>
        </w:numPr>
        <w:spacing w:after="80"/>
      </w:pPr>
      <w:r>
        <w:t xml:space="preserve">Search performance — narrowing to the right container first makes lookups faster and avoids name collisions.</w:t>
      </w:r>
    </w:p>
    <w:p>
      <w:pPr>
        <w:pStyle w:val="ListParagraph"/>
        <w:numPr>
          <w:ilvl w:val="0"/>
          <w:numId w:val="2"/>
        </w:numPr>
        <w:spacing w:after="80"/>
      </w:pPr>
      <w:r>
        <w:t xml:space="preserve">Compliance segregation — prevents accidental overwrites of regulatory-locked data by design, not just by policy.</w:t>
      </w:r>
    </w:p>
    <w:p>
      <w:pPr>
        <w:pStyle w:val="Heading2"/>
      </w:pPr>
      <w:r>
        <w:t xml:space="preserve">7.3 Why DocStore holds the decrypted, unzipped file</w:t>
      </w:r>
    </w:p>
    <w:p>
      <w:pPr>
        <w:spacing w:after="160"/>
      </w:pPr>
      <w:r>
        <w:t xml:space="preserve">PGP encryption only protects the file while it's travelling over the network. Once safely inside SRMS's trusted boundary, it must be decrypted/unzipped to be usable — searchable, viewable, downloadable by authorised users via the UI.</w:t>
      </w:r>
    </w:p>
    <w:p>
      <w:pPr>
        <w:spacing w:after="120"/>
      </w:pPr>
    </w:p>
    <w:p>
      <w:pPr>
        <w:pStyle w:val="Heading1"/>
      </w:pPr>
      <w:r>
        <w:t xml:space="preserve">8. Regional Differences — AMER vs EMEA</w:t>
      </w:r>
    </w:p>
    <w:p>
      <w:pPr>
        <w:spacing w:after="160"/>
      </w:pPr>
      <w:r>
        <w:t xml:space="preserve">SRMS behaves differently depending on region, both for storage location and for which features are currently switched on. This is a phased rollout, not a design flaw — a missing feature in one region usually just means it hasn't been built/enabled there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80"/>
        <w:gridCol w:w="3580"/>
      </w:tblGrid>
      <w:tr>
        <w:tc>
          <w:tcPr>
            <w:tcW w:type="dxa" w:w="2400"/>
            <w:tcBorders>
              <w:top w:val="single" w:color="CCCCCC" w:sz="1"/>
              <w:left w:val="single" w:color="CCCCCC" w:sz="1"/>
              <w:bottom w:val="single" w:color="CCCCCC" w:sz="1"/>
              <w:right w:val="single" w:color="CCCCCC" w:sz="1"/>
            </w:tcBorders>
            <w:shd w:fill="1F6F4A" w:val="clear"/>
            <w:tcMar>
              <w:top w:type="dxa" w:w="80"/>
              <w:left w:type="dxa" w:w="120"/>
              <w:bottom w:type="dxa" w:w="80"/>
              <w:right w:type="dxa" w:w="120"/>
            </w:tcMar>
          </w:tcPr>
          <w:p>
            <w:r>
              <w:rPr>
                <w:b/>
                <w:bCs/>
                <w:color w:val="FFFFFF"/>
                <w:sz w:val="20"/>
                <w:szCs w:val="20"/>
              </w:rPr>
              <w:t xml:space="preserve">Aspect</w:t>
            </w:r>
          </w:p>
        </w:tc>
        <w:tc>
          <w:tcPr>
            <w:tcW w:type="dxa" w:w="3380"/>
            <w:tcBorders>
              <w:top w:val="single" w:color="CCCCCC" w:sz="1"/>
              <w:left w:val="single" w:color="CCCCCC" w:sz="1"/>
              <w:bottom w:val="single" w:color="CCCCCC" w:sz="1"/>
              <w:right w:val="single" w:color="CCCCCC" w:sz="1"/>
            </w:tcBorders>
            <w:shd w:fill="1F6F4A" w:val="clear"/>
            <w:tcMar>
              <w:top w:type="dxa" w:w="80"/>
              <w:left w:type="dxa" w:w="120"/>
              <w:bottom w:type="dxa" w:w="80"/>
              <w:right w:type="dxa" w:w="120"/>
            </w:tcMar>
          </w:tcPr>
          <w:p>
            <w:r>
              <w:rPr>
                <w:b/>
                <w:bCs/>
                <w:color w:val="FFFFFF"/>
                <w:sz w:val="20"/>
                <w:szCs w:val="20"/>
              </w:rPr>
              <w:t xml:space="preserve">AMER</w:t>
            </w:r>
          </w:p>
        </w:tc>
        <w:tc>
          <w:tcPr>
            <w:tcW w:type="dxa" w:w="3580"/>
            <w:tcBorders>
              <w:top w:val="single" w:color="CCCCCC" w:sz="1"/>
              <w:left w:val="single" w:color="CCCCCC" w:sz="1"/>
              <w:bottom w:val="single" w:color="CCCCCC" w:sz="1"/>
              <w:right w:val="single" w:color="CCCCCC" w:sz="1"/>
            </w:tcBorders>
            <w:shd w:fill="1F6F4A" w:val="clear"/>
            <w:tcMar>
              <w:top w:type="dxa" w:w="80"/>
              <w:left w:type="dxa" w:w="120"/>
              <w:bottom w:type="dxa" w:w="80"/>
              <w:right w:type="dxa" w:w="120"/>
            </w:tcMar>
          </w:tcPr>
          <w:p>
            <w:r>
              <w:rPr>
                <w:b/>
                <w:bCs/>
                <w:color w:val="FFFFFF"/>
                <w:sz w:val="20"/>
                <w:szCs w:val="20"/>
              </w:rPr>
              <w:t xml:space="preserve">EMEA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Physical storage location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France (with APAC → Singapore planned)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Metadata</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 record type, additional metadata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plus an extra Country field (EMEA spans multiple countries' regulatory regimes)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Manual upload (UI)</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Enabled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currently available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Pattern search</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currently available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Enabled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Metadata search</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Enabled (baseline)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Enabled (baseline)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Storage classification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WORM, non-WORM, and Secret all usable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Effectively WORM only — non-WORM exists but unused; Secret tier doesn't exist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Legal Hold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Available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yet available (pending)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5F2EC" w:val="clear"/>
            <w:tcMar>
              <w:top w:type="dxa" w:w="120"/>
              <w:left w:type="dxa" w:w="160"/>
              <w:bottom w:type="dxa" w:w="120"/>
              <w:right w:type="dxa" w:w="160"/>
            </w:tcMar>
          </w:tcPr>
          <w:p>
            <w:pPr>
              <w:spacing w:after="80"/>
            </w:pPr>
            <w:r>
              <w:rPr>
                <w:b/>
                <w:bCs/>
                <w:color w:val="1F6F4A"/>
              </w:rPr>
              <w:t xml:space="preserve">Why these differences exist</w:t>
            </w:r>
          </w:p>
          <w:p>
            <w:pPr>
              <w:spacing w:after="40"/>
            </w:pPr>
            <w:r>
              <w:rPr>
                <w:sz w:val="21"/>
                <w:szCs w:val="21"/>
              </w:rPr>
              <w:t xml:space="preserve">Different countries' regulators set different minimum standards for record immutability/retention — this likely drives EMEA's stricter, WORM-only default. Feature gaps (manual upload, pattern search, legal hold) reflect a staged build-out across regions, not a permanent limitation.</w:t>
            </w:r>
          </w:p>
        </w:tc>
      </w:tr>
    </w:tbl>
    <w:p>
      <w:pPr>
        <w:pStyle w:val="Heading1"/>
      </w:pPr>
      <w:r>
        <w:t xml:space="preserve">9. Metadata — Container-Level vs Document-Level</w:t>
      </w:r>
    </w:p>
    <w:p>
      <w:pPr>
        <w:spacing w:after="160"/>
      </w:pPr>
      <w:r>
        <w:t xml:space="preserve">Metadata is just descriptive information attached to a record so it can be governed and found later. SRMS works with metadata at two distinct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F6F4A" w:val="clear"/>
            <w:tcMar>
              <w:top w:type="dxa" w:w="80"/>
              <w:left w:type="dxa" w:w="120"/>
              <w:bottom w:type="dxa" w:w="80"/>
              <w:right w:type="dxa" w:w="120"/>
            </w:tcMar>
          </w:tcPr>
          <w:p>
            <w:r>
              <w:rPr>
                <w:b/>
                <w:bCs/>
                <w:color w:val="FFFFFF"/>
                <w:sz w:val="20"/>
                <w:szCs w:val="20"/>
              </w:rPr>
              <w:t xml:space="preserve">Level</w:t>
            </w:r>
          </w:p>
        </w:tc>
        <w:tc>
          <w:tcPr>
            <w:tcW w:type="dxa" w:w="3600"/>
            <w:tcBorders>
              <w:top w:val="single" w:color="CCCCCC" w:sz="1"/>
              <w:left w:val="single" w:color="CCCCCC" w:sz="1"/>
              <w:bottom w:val="single" w:color="CCCCCC" w:sz="1"/>
              <w:right w:val="single" w:color="CCCCCC" w:sz="1"/>
            </w:tcBorders>
            <w:shd w:fill="1F6F4A" w:val="clear"/>
            <w:tcMar>
              <w:top w:type="dxa" w:w="80"/>
              <w:left w:type="dxa" w:w="120"/>
              <w:bottom w:type="dxa" w:w="80"/>
              <w:right w:type="dxa" w:w="120"/>
            </w:tcMar>
          </w:tcPr>
          <w:p>
            <w:r>
              <w:rPr>
                <w:b/>
                <w:bCs/>
                <w:color w:val="FFFFFF"/>
                <w:sz w:val="20"/>
                <w:szCs w:val="20"/>
              </w:rPr>
              <w:t xml:space="preserve">Set by / when</w:t>
            </w:r>
          </w:p>
        </w:tc>
        <w:tc>
          <w:tcPr>
            <w:tcW w:type="dxa" w:w="3760"/>
            <w:tcBorders>
              <w:top w:val="single" w:color="CCCCCC" w:sz="1"/>
              <w:left w:val="single" w:color="CCCCCC" w:sz="1"/>
              <w:bottom w:val="single" w:color="CCCCCC" w:sz="1"/>
              <w:right w:val="single" w:color="CCCCCC" w:sz="1"/>
            </w:tcBorders>
            <w:shd w:fill="1F6F4A" w:val="clear"/>
            <w:tcMar>
              <w:top w:type="dxa" w:w="80"/>
              <w:left w:type="dxa" w:w="120"/>
              <w:bottom w:type="dxa" w:w="80"/>
              <w:right w:type="dxa" w:w="120"/>
            </w:tcMar>
          </w:tcPr>
          <w:p>
            <w:r>
              <w:rPr>
                <w:b/>
                <w:bCs/>
                <w:color w:val="FFFFFF"/>
                <w:sz w:val="20"/>
                <w:szCs w:val="20"/>
              </w:rPr>
              <w:t xml:space="preserve">Examples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Container-level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 once by the source team during onboarding (the Onboarding Form)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Application name, record type, retention period, regulatory body, confidentiality, WORM/non-WORM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Document-level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Extracted per actual file, from the .go file or filename pattern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Report date, account ID, country code</w:t>
            </w:r>
          </w:p>
        </w:tc>
      </w:tr>
    </w:tbl>
    <w:p>
      <w:pPr>
        <w:spacing w:after="120"/>
      </w:pPr>
    </w:p>
    <w:p>
      <w:pPr>
        <w:spacing w:after="160"/>
      </w:pPr>
      <w:r>
        <w:t xml:space="preserve">Why the distinction matters: container-level rules govern an entire category of records (e.g. “all Billing Invoices are WORM, 5-year retention”), while document-level metadata is what actually identifies and makes one specific file searchable/retrievable.</w:t>
      </w:r>
    </w:p>
    <w:p>
      <w:pPr>
        <w:spacing w:after="120"/>
      </w:pPr>
    </w:p>
    <w:p>
      <w:pPr>
        <w:pStyle w:val="Heading1"/>
      </w:pPr>
      <w:r>
        <w:t xml:space="preserve">10. User Roles &amp; Access Model</w:t>
      </w:r>
    </w:p>
    <w:p>
      <w:pPr>
        <w:pStyle w:val="Heading2"/>
      </w:pPr>
      <w:r>
        <w:t xml:space="preserve">10.1 The three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F6F4A" w:val="clear"/>
            <w:tcMar>
              <w:top w:type="dxa" w:w="80"/>
              <w:left w:type="dxa" w:w="120"/>
              <w:bottom w:type="dxa" w:w="80"/>
              <w:right w:type="dxa" w:w="120"/>
            </w:tcMar>
          </w:tcPr>
          <w:p>
            <w:r>
              <w:rPr>
                <w:b/>
                <w:bCs/>
                <w:color w:val="FFFFFF"/>
                <w:sz w:val="20"/>
                <w:szCs w:val="20"/>
              </w:rPr>
              <w:t xml:space="preserve">Role</w:t>
            </w:r>
          </w:p>
        </w:tc>
        <w:tc>
          <w:tcPr>
            <w:tcW w:type="dxa" w:w="4000"/>
            <w:tcBorders>
              <w:top w:val="single" w:color="CCCCCC" w:sz="1"/>
              <w:left w:val="single" w:color="CCCCCC" w:sz="1"/>
              <w:bottom w:val="single" w:color="CCCCCC" w:sz="1"/>
              <w:right w:val="single" w:color="CCCCCC" w:sz="1"/>
            </w:tcBorders>
            <w:shd w:fill="1F6F4A" w:val="clear"/>
            <w:tcMar>
              <w:top w:type="dxa" w:w="80"/>
              <w:left w:type="dxa" w:w="120"/>
              <w:bottom w:type="dxa" w:w="80"/>
              <w:right w:type="dxa" w:w="120"/>
            </w:tcMar>
          </w:tcPr>
          <w:p>
            <w:r>
              <w:rPr>
                <w:b/>
                <w:bCs/>
                <w:color w:val="FFFFFF"/>
                <w:sz w:val="20"/>
                <w:szCs w:val="20"/>
              </w:rPr>
              <w:t xml:space="preserve">Who they are</w:t>
            </w:r>
          </w:p>
        </w:tc>
        <w:tc>
          <w:tcPr>
            <w:tcW w:type="dxa" w:w="3360"/>
            <w:tcBorders>
              <w:top w:val="single" w:color="CCCCCC" w:sz="1"/>
              <w:left w:val="single" w:color="CCCCCC" w:sz="1"/>
              <w:bottom w:val="single" w:color="CCCCCC" w:sz="1"/>
              <w:right w:val="single" w:color="CCCCCC" w:sz="1"/>
            </w:tcBorders>
            <w:shd w:fill="1F6F4A" w:val="clear"/>
            <w:tcMar>
              <w:top w:type="dxa" w:w="80"/>
              <w:left w:type="dxa" w:w="120"/>
              <w:bottom w:type="dxa" w:w="80"/>
              <w:right w:type="dxa" w:w="120"/>
            </w:tcMar>
          </w:tcPr>
          <w:p>
            <w:r>
              <w:rPr>
                <w:b/>
                <w:bCs/>
                <w:color w:val="FFFFFF"/>
                <w:sz w:val="20"/>
                <w:szCs w:val="20"/>
              </w:rPr>
              <w:t xml:space="preserve">Access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Owner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application's administrator within SRMS — onboards the application, defines record types/retention/regulatory info.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Broadest: onboard, view, download, manual upload, approve.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Visitor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regular business end-user retrieving reports.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View, download, search. No configuration/onboarding rights.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RMO (Records Management Office)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Compliance/governance staff — record-keeping professionals &amp; support team overseeing correct record-keeping.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Read-only: view &amp; search. No download. Consistent across both regions (not region-specific, unlike other features).</w:t>
            </w:r>
          </w:p>
        </w:tc>
      </w:tr>
    </w:tbl>
    <w:p>
      <w:pPr>
        <w:spacing w:after="120"/>
      </w:pPr>
    </w:p>
    <w:p>
      <w:pPr>
        <w:pStyle w:val="Heading2"/>
      </w:pPr>
      <w:r>
        <w:t xml:space="preserve">10.2 The three independent access “dimensions”</w:t>
      </w:r>
    </w:p>
    <w:p>
      <w:pPr>
        <w:spacing w:after="160"/>
      </w:pPr>
      <w:r>
        <w:t xml:space="preserve">Access isn't a single switch — it's granted as a combination of independent capabilities:</w:t>
      </w:r>
    </w:p>
    <w:p>
      <w:pPr>
        <w:pStyle w:val="ListParagraph"/>
        <w:numPr>
          <w:ilvl w:val="0"/>
          <w:numId w:val="2"/>
        </w:numPr>
        <w:spacing w:after="80"/>
      </w:pPr>
      <w:r>
        <w:t xml:space="preserve">View access — can see a record's existence/metadata</w:t>
      </w:r>
    </w:p>
    <w:p>
      <w:pPr>
        <w:pStyle w:val="ListParagraph"/>
        <w:numPr>
          <w:ilvl w:val="0"/>
          <w:numId w:val="2"/>
        </w:numPr>
        <w:spacing w:after="80"/>
      </w:pPr>
      <w:r>
        <w:t xml:space="preserve">Download access — can pull the actual file content</w:t>
      </w:r>
    </w:p>
    <w:p>
      <w:pPr>
        <w:pStyle w:val="ListParagraph"/>
        <w:numPr>
          <w:ilvl w:val="0"/>
          <w:numId w:val="2"/>
        </w:numPr>
        <w:spacing w:after="80"/>
      </w:pPr>
      <w:r>
        <w:t xml:space="preserve">Manual upload access — can push new files in directly via the UI</w:t>
      </w:r>
    </w:p>
    <w:p>
      <w:pPr>
        <w:pStyle w:val="Heading2"/>
      </w:pPr>
      <w:r>
        <w:t xml:space="preserve">10.3 Manual upload needs a separate approver</w:t>
      </w:r>
    </w:p>
    <w:p>
      <w:pPr>
        <w:spacing w:after="160"/>
      </w:pPr>
      <w:r>
        <w:t xml:space="preserve">Manually uploaded files are not auto-trusted. A different person with “approver” access must explicitly click Approve before the file is actually moved into permanent storage — a maker-checker control to prevent a single person from both submitting and confirming a record.</w:t>
      </w:r>
    </w:p>
    <w:p>
      <w:pPr>
        <w:spacing w:after="120"/>
      </w:pPr>
    </w:p>
    <w:p>
      <w:pPr>
        <w:pStyle w:val="Heading1"/>
      </w:pPr>
      <w:r>
        <w:t xml:space="preserve">11. Pattern Search &amp; the Data Hub Step</w:t>
      </w:r>
    </w:p>
    <w:p>
      <w:pPr>
        <w:spacing w:after="160"/>
      </w:pPr>
      <w:r>
        <w:t xml:space="preserve">Structured data has a known shape (e.g. CSV columns) and is directly queryable. Unstructured data (e.g. free-form text inside a PDF) has no predefined fields — there's nothing to query directly.</w:t>
      </w:r>
    </w:p>
    <w:p>
      <w:pPr>
        <w:spacing w:after="160"/>
      </w:pPr>
      <w:r>
        <w:t xml:space="preserve">To make unstructured content searchable, SRMS routes it to a separate Data Hub service, which parses and structures the raw content (extracting recognisable patterns/values) into an indexable form. Only after this structuring step can “Pattern Search” actually find things inside those documents.</w:t>
      </w:r>
    </w:p>
    <w:p>
      <w:pPr>
        <w:spacing w:after="120"/>
      </w:pPr>
    </w:p>
    <w:p>
      <w:pPr>
        <w:pStyle w:val="Heading1"/>
      </w:pPr>
      <w:r>
        <w:t xml:space="preserve">12. Legal Hold</w:t>
      </w:r>
    </w:p>
    <w:p>
      <w:pPr>
        <w:spacing w:after="160"/>
      </w:pPr>
      <w:r>
        <w:t xml:space="preserve">Every record has a configured retention period (e.g. 5 years), after which it normally becomes eligible for automatic disposal. Legal Hold is a flag applied to individual records that overrides this — it blocks deletion regardless of the retention timer, typically because the record is relevant to an active legal case, investigation, or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5F2EC" w:val="clear"/>
            <w:tcMar>
              <w:top w:type="dxa" w:w="120"/>
              <w:left w:type="dxa" w:w="160"/>
              <w:bottom w:type="dxa" w:w="120"/>
              <w:right w:type="dxa" w:w="160"/>
            </w:tcMar>
          </w:tcPr>
          <w:p>
            <w:pPr>
              <w:spacing w:after="80"/>
            </w:pPr>
            <w:r>
              <w:rPr>
                <w:b/>
                <w:bCs/>
                <w:color w:val="1F6F4A"/>
              </w:rPr>
              <w:t xml:space="preserve">Worked example (from KT notes)</w:t>
            </w:r>
          </w:p>
          <w:p>
            <w:pPr>
              <w:spacing w:after="40"/>
            </w:pPr>
            <w:r>
              <w:rPr>
                <w:sz w:val="21"/>
                <w:szCs w:val="21"/>
              </w:rPr>
              <w:t xml:space="preserve">100 records of the same report type all reach their 5-year retention deadline together. 95 are disposed of as normal. 5 are tied to an ongoing legal matter, so a Legal Hold is placed on just those 5 — they remain frozen/undeletable until someone with the right authority explicitly removes the hold later.</w:t>
            </w:r>
          </w:p>
        </w:tc>
      </w:tr>
    </w:tbl>
    <w:p>
      <w:pPr>
        <w:spacing w:after="160"/>
      </w:pPr>
      <w:r>
        <w:t xml:space="preserve">Status: implemented for AMER; not yet available for EMEA (still pending in the spec).</w:t>
      </w:r>
    </w:p>
    <w:p>
      <w:pPr>
        <w:spacing w:after="120"/>
      </w:pPr>
    </w:p>
    <w:p>
      <w:pPr>
        <w:pStyle w:val="Heading1"/>
      </w:pPr>
      <w:r>
        <w:t xml:space="preserve">13. Onboarding a New Application / Source</w:t>
      </w:r>
    </w:p>
    <w:p>
      <w:pPr>
        <w:spacing w:after="160"/>
      </w:pPr>
      <w:r>
        <w:t xml:space="preserve">A new application (or new report type for an existing application) is added to SRMS via an Onboarding Form, filled in by the Application Owner. This form is what literally configures every validation rule SRMS later applies to that source's files.</w:t>
      </w:r>
    </w:p>
    <w:p>
      <w:pPr>
        <w:pStyle w:val="Heading2"/>
      </w:pPr>
      <w:r>
        <w:t xml:space="preserve">13.1 What the form captures</w:t>
      </w:r>
    </w:p>
    <w:p>
      <w:pPr>
        <w:pStyle w:val="ListParagraph"/>
        <w:numPr>
          <w:ilvl w:val="0"/>
          <w:numId w:val="2"/>
        </w:numPr>
        <w:spacing w:after="80"/>
      </w:pPr>
      <w:r>
        <w:t xml:space="preserve">Application name &amp; NAS landing folder paths (UAT and PROD)</w:t>
      </w:r>
    </w:p>
    <w:p>
      <w:pPr>
        <w:pStyle w:val="ListParagraph"/>
        <w:numPr>
          <w:ilvl w:val="0"/>
          <w:numId w:val="2"/>
        </w:numPr>
        <w:spacing w:after="80"/>
      </w:pPr>
      <w:r>
        <w:t xml:space="preserve">Record type, filename pattern (regex-validated), record description</w:t>
      </w:r>
    </w:p>
    <w:p>
      <w:pPr>
        <w:pStyle w:val="ListParagraph"/>
        <w:numPr>
          <w:ilvl w:val="0"/>
          <w:numId w:val="2"/>
        </w:numPr>
        <w:spacing w:after="80"/>
      </w:pPr>
      <w:r>
        <w:t xml:space="preserve">Region/country, office of record</w:t>
      </w:r>
    </w:p>
    <w:p>
      <w:pPr>
        <w:pStyle w:val="ListParagraph"/>
        <w:numPr>
          <w:ilvl w:val="0"/>
          <w:numId w:val="2"/>
        </w:numPr>
        <w:spacing w:after="80"/>
      </w:pPr>
      <w:r>
        <w:t xml:space="preserve">Retention period &amp; requirement, regulatory body &amp; rule, disposition-after period</w:t>
      </w:r>
    </w:p>
    <w:p>
      <w:pPr>
        <w:pStyle w:val="ListParagraph"/>
        <w:numPr>
          <w:ilvl w:val="0"/>
          <w:numId w:val="2"/>
        </w:numPr>
        <w:spacing w:after="80"/>
      </w:pPr>
      <w:r>
        <w:t xml:space="preserve">Data classification (Public / Internal / Confidential / Secret) and WORM / non-WORM storage requirement</w:t>
      </w:r>
    </w:p>
    <w:p>
      <w:pPr>
        <w:pStyle w:val="ListParagraph"/>
        <w:numPr>
          <w:ilvl w:val="0"/>
          <w:numId w:val="2"/>
        </w:numPr>
        <w:spacing w:after="80"/>
      </w:pPr>
      <w:r>
        <w:t xml:space="preserve">Primary business &amp; IT contacts</w:t>
      </w:r>
    </w:p>
    <w:p>
      <w:pPr>
        <w:pStyle w:val="ListParagraph"/>
        <w:numPr>
          <w:ilvl w:val="0"/>
          <w:numId w:val="2"/>
        </w:numPr>
        <w:spacing w:after="80"/>
      </w:pPr>
      <w:r>
        <w:t xml:space="preserve">Application users (UID/GID) and SailPoint validator sign-off</w:t>
      </w:r>
    </w:p>
    <w:p>
      <w:pPr>
        <w:pStyle w:val="ListParagraph"/>
        <w:numPr>
          <w:ilvl w:val="0"/>
          <w:numId w:val="2"/>
        </w:numPr>
        <w:spacing w:after="80"/>
      </w:pPr>
      <w:r>
        <w:t xml:space="preserve">Sample files and sample .go file, with accepted date formats</w:t>
      </w:r>
    </w:p>
    <w:p>
      <w:pPr>
        <w:pStyle w:val="Heading2"/>
      </w:pPr>
      <w:r>
        <w:t xml:space="preserve">13.2 Sign-off levels</w:t>
      </w:r>
    </w:p>
    <w:p>
      <w:pPr>
        <w:spacing w:after="160"/>
      </w:pPr>
      <w:r>
        <w:t xml:space="preserve">Three approval levels are required before onboarding access is granted: Line Manager → Application Owner → RMO.</w:t>
      </w:r>
    </w:p>
    <w:p>
      <w:pPr>
        <w:spacing w:after="120"/>
      </w:pPr>
    </w:p>
    <w:p>
      <w:pPr>
        <w:pStyle w:val="Heading1"/>
      </w:pPr>
      <w:r>
        <w:t xml:space="preserve">14. Filename Pattern Regex — Reference</w:t>
      </w:r>
    </w:p>
    <w:p>
      <w:pPr>
        <w:spacing w:after="160"/>
      </w:pPr>
      <w:r>
        <w:t xml:space="preserve">SRMS validates incoming filenames automatically using a regex pattern configured per report type at onboarding. A regex pattern describes the SHAPE of an acceptable filename, not one exact name.</w:t>
      </w:r>
    </w:p>
    <w:p>
      <w:pPr>
        <w:pStyle w:val="Heading2"/>
      </w:pPr>
      <w:r>
        <w:t xml:space="preserve">14.1 Building blocks used in SRMS filename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6F4A" w:val="clear"/>
            <w:tcMar>
              <w:top w:type="dxa" w:w="80"/>
              <w:left w:type="dxa" w:w="120"/>
              <w:bottom w:type="dxa" w:w="80"/>
              <w:right w:type="dxa" w:w="120"/>
            </w:tcMar>
          </w:tcPr>
          <w:p>
            <w:r>
              <w:rPr>
                <w:b/>
                <w:bCs/>
                <w:color w:val="FFFFFF"/>
                <w:sz w:val="20"/>
                <w:szCs w:val="20"/>
              </w:rPr>
              <w:t xml:space="preserve">Symbol</w:t>
            </w:r>
          </w:p>
        </w:tc>
        <w:tc>
          <w:tcPr>
            <w:tcW w:type="dxa" w:w="7160"/>
            <w:tcBorders>
              <w:top w:val="single" w:color="CCCCCC" w:sz="1"/>
              <w:left w:val="single" w:color="CCCCCC" w:sz="1"/>
              <w:bottom w:val="single" w:color="CCCCCC" w:sz="1"/>
              <w:right w:val="single" w:color="CCCCCC" w:sz="1"/>
            </w:tcBorders>
            <w:shd w:fill="1F6F4A" w:val="clear"/>
            <w:tcMar>
              <w:top w:type="dxa" w:w="80"/>
              <w:left w:type="dxa" w:w="120"/>
              <w:bottom w:type="dxa" w:w="80"/>
              <w:right w:type="dxa" w:w="120"/>
            </w:tcMar>
          </w:tcPr>
          <w:p>
            <w:r>
              <w:rPr>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and  $</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Anchors — match must start at the very beginning / end at the very end of the filename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Any single digit (0–9)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or more digits (variable-length number, e.g. an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\d{4}</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Exactly 4 digits (e.g. a year)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Exactly 2 digits (e.g. a 2-digit desk/book 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literal dot (escaped — an un-escaped . means “any character”)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_</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Literal underscore — no special meaning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Alternation — matches either A or B in that exact position</w:t>
            </w:r>
          </w:p>
        </w:tc>
      </w:tr>
    </w:tbl>
    <w:p>
      <w:pPr>
        <w:spacing w:after="120"/>
      </w:pPr>
    </w:p>
    <w:p>
      <w:pPr>
        <w:pStyle w:val="Heading2"/>
      </w:pPr>
      <w:r>
        <w:t xml:space="preserve">14.2 Worked patterns (validated against real filenames)</w:t>
      </w:r>
    </w:p>
    <w:p>
      <w:pPr>
        <w:shd w:fill="F4F4F4" w:val="clear"/>
        <w:spacing w:after="160"/>
      </w:pPr>
      <w:r>
        <w:rPr>
          <w:rFonts w:ascii="Consolas" w:cs="Consolas" w:eastAsia="Consolas" w:hAnsi="Consolas"/>
          <w:sz w:val="20"/>
          <w:szCs w:val="20"/>
        </w:rPr>
        <w:t xml:space="preserve">^ITM_PB_Firm_Out_Of_Balance_Package_\d+\.pdf$</w:t>
      </w:r>
    </w:p>
    <w:p>
      <w:pPr>
        <w:shd w:fill="F4F4F4" w:val="clear"/>
        <w:spacing w:after="160"/>
      </w:pPr>
      <w:r>
        <w:rPr>
          <w:rFonts w:ascii="Consolas" w:cs="Consolas" w:eastAsia="Consolas" w:hAnsi="Consolas"/>
          <w:sz w:val="20"/>
          <w:szCs w:val="20"/>
        </w:rPr>
        <w:t xml:space="preserve">^ITM_PB_UST_\d+_Positions_Rec_Open_Items\.pdf$</w:t>
      </w:r>
    </w:p>
    <w:p>
      <w:pPr>
        <w:shd w:fill="F4F4F4" w:val="clear"/>
        <w:spacing w:after="160"/>
      </w:pPr>
      <w:r>
        <w:rPr>
          <w:rFonts w:ascii="Consolas" w:cs="Consolas" w:eastAsia="Consolas" w:hAnsi="Consolas"/>
          <w:sz w:val="20"/>
          <w:szCs w:val="20"/>
        </w:rPr>
        <w:t xml:space="preserve">^ITM_SecCorp_Suspense_Account_Rec_(Matched|Open)_Items\.pdf$</w:t>
      </w:r>
    </w:p>
    <w:p>
      <w:pPr>
        <w:shd w:fill="F4F4F4" w:val="clear"/>
        <w:spacing w:after="160"/>
      </w:pPr>
      <w:r>
        <w:rPr>
          <w:rFonts w:ascii="Consolas" w:cs="Consolas" w:eastAsia="Consolas" w:hAnsi="Consolas"/>
          <w:sz w:val="20"/>
          <w:szCs w:val="20"/>
        </w:rPr>
        <w:t xml:space="preserve">^ITM_GPB_Calypso_vs_Calypso_D\d{2}_Positions_Rec_(Matched|Open)_Items_NAR\.pdf$</w:t>
      </w:r>
    </w:p>
    <w:p>
      <w:pPr>
        <w:shd w:fill="F4F4F4" w:val="clear"/>
        <w:spacing w:after="160"/>
      </w:pPr>
      <w:r>
        <w:rPr>
          <w:rFonts w:ascii="Consolas" w:cs="Consolas" w:eastAsia="Consolas" w:hAnsi="Consolas"/>
          <w:sz w:val="20"/>
          <w:szCs w:val="20"/>
        </w:rPr>
        <w:t xml:space="preserve">^SEC_SBSD_Exam_\d{4}_(EL|CL)\.pdf$</w:t>
      </w:r>
    </w:p>
    <w:p>
      <w:pPr>
        <w:shd w:fill="F4F4F4" w:val="clear"/>
        <w:spacing w:after="160"/>
      </w:pPr>
      <w:r>
        <w:rPr>
          <w:rFonts w:ascii="Consolas" w:cs="Consolas" w:eastAsia="Consolas" w:hAnsi="Consolas"/>
          <w:sz w:val="20"/>
          <w:szCs w:val="20"/>
        </w:rPr>
        <w:t xml:space="preserve">^SEC_Transfer_Exam_\d{4}_(EL|CL)\.pdf$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5F2EC" w:val="clear"/>
            <w:tcMar>
              <w:top w:type="dxa" w:w="120"/>
              <w:left w:type="dxa" w:w="160"/>
              <w:bottom w:type="dxa" w:w="120"/>
              <w:right w:type="dxa" w:w="160"/>
            </w:tcMar>
          </w:tcPr>
          <w:p>
            <w:pPr>
              <w:spacing w:after="80"/>
            </w:pPr>
            <w:r>
              <w:rPr>
                <w:b/>
                <w:bCs/>
                <w:color w:val="1F6F4A"/>
              </w:rPr>
              <w:t xml:space="preserve">Two things to watch for (lessons from review)</w:t>
            </w:r>
          </w:p>
          <w:p>
            <w:pPr>
              <w:spacing w:after="40"/>
            </w:pPr>
            <w:r>
              <w:rPr>
                <w:sz w:val="21"/>
                <w:szCs w:val="21"/>
              </w:rPr>
              <w:t xml:space="preserve">Always include the trailing $ — without it, a pattern can wrongly accept filenames with extra junk appended after .pdf.</w:t>
            </w:r>
          </w:p>
          <w:p>
            <w:pPr>
              <w:spacing w:after="40"/>
            </w:pPr>
            <w:r>
              <w:rPr>
                <w:sz w:val="21"/>
                <w:szCs w:val="21"/>
              </w:rPr>
              <w:t xml:space="preserve">Decide deliberately between a literal code (e.g. D08) and a flexible one (D\d{2}) — hardcode only if that segment is genuinely fixed, not just what happened to appear in today's sample.</w:t>
            </w:r>
          </w:p>
        </w:tc>
      </w:tr>
    </w:tbl>
    <w:p>
      <w:pPr>
        <w:pStyle w:val="Heading1"/>
      </w:pPr>
      <w:r>
        <w:t xml:space="preserve">15. One-Page Cheat Sheet for the Reverse KT</w:t>
      </w:r>
    </w:p>
    <w:p>
      <w:pPr>
        <w:spacing w:after="160"/>
      </w:pPr>
      <w:r>
        <w:t xml:space="preserve">If your mentor only lets you talk for 5 minutes, hit these points in order:</w:t>
      </w:r>
    </w:p>
    <w:p>
      <w:pPr>
        <w:pStyle w:val="ListParagraph"/>
        <w:numPr>
          <w:ilvl w:val="0"/>
          <w:numId w:val="3"/>
        </w:numPr>
        <w:spacing w:after="80"/>
      </w:pPr>
      <w:r>
        <w:t xml:space="preserve">What SRMS is: automated, compliant ingestion + storage + search for regulatory records, built on DocStore.</w:t>
      </w:r>
    </w:p>
    <w:p>
      <w:pPr>
        <w:pStyle w:val="ListParagraph"/>
        <w:numPr>
          <w:ilvl w:val="0"/>
          <w:numId w:val="3"/>
        </w:numPr>
        <w:spacing w:after="80"/>
      </w:pPr>
      <w:r>
        <w:t xml:space="preserve">The flow: source → encrypt &amp; name file → transfer (CFT/FTS) → NAS landing → 30-min timer job → metadata extraction from .go file → validation → DocStore upload (or exception) → indexing → search/retrieval via UI → retention → disposal (unless Legal Hold).</w:t>
      </w:r>
    </w:p>
    <w:p>
      <w:pPr>
        <w:pStyle w:val="ListParagraph"/>
        <w:numPr>
          <w:ilvl w:val="0"/>
          <w:numId w:val="3"/>
        </w:numPr>
        <w:spacing w:after="80"/>
      </w:pPr>
      <w:r>
        <w:t xml:space="preserve">FTS vs CFT: CFT = plain shared folder; FTS = managed flow, no middleware, auto-removes file after pickup.</w:t>
      </w:r>
    </w:p>
    <w:p>
      <w:pPr>
        <w:pStyle w:val="ListParagraph"/>
        <w:numPr>
          <w:ilvl w:val="0"/>
          <w:numId w:val="3"/>
        </w:numPr>
        <w:spacing w:after="80"/>
      </w:pPr>
      <w:r>
        <w:t xml:space="preserve">.go file: one per source folder, carries batch metadata, mandatory or file goes to exception.</w:t>
      </w:r>
    </w:p>
    <w:p>
      <w:pPr>
        <w:pStyle w:val="ListParagraph"/>
        <w:numPr>
          <w:ilvl w:val="0"/>
          <w:numId w:val="3"/>
        </w:numPr>
        <w:spacing w:after="80"/>
      </w:pPr>
      <w:r>
        <w:t xml:space="preserve">PGP: public key encrypts in transit, private key (held only by SRMS) decrypts; signing separately proves authenticity.</w:t>
      </w:r>
    </w:p>
    <w:p>
      <w:pPr>
        <w:pStyle w:val="ListParagraph"/>
        <w:numPr>
          <w:ilvl w:val="0"/>
          <w:numId w:val="3"/>
        </w:numPr>
        <w:spacing w:after="80"/>
      </w:pPr>
      <w:r>
        <w:t xml:space="preserve">DocStore hierarchy: DSAPI → Buckets → Consumers → SRMSWORM → Container → Document.</w:t>
      </w:r>
    </w:p>
    <w:p>
      <w:pPr>
        <w:pStyle w:val="ListParagraph"/>
        <w:numPr>
          <w:ilvl w:val="0"/>
          <w:numId w:val="3"/>
        </w:numPr>
        <w:spacing w:after="80"/>
      </w:pPr>
      <w:r>
        <w:t xml:space="preserve">Regions differ: storage location, available features (manual upload/pattern search/legal hold), and classification options (WORM/non-WORM/Secret).</w:t>
      </w:r>
    </w:p>
    <w:p>
      <w:pPr>
        <w:pStyle w:val="ListParagraph"/>
        <w:numPr>
          <w:ilvl w:val="0"/>
          <w:numId w:val="3"/>
        </w:numPr>
        <w:spacing w:after="80"/>
      </w:pPr>
      <w:r>
        <w:t xml:space="preserve">Roles: Owner (admin), Visitor (view/download/search), RMO (read-only oversight, same across regions).</w:t>
      </w:r>
    </w:p>
    <w:p>
      <w:pPr>
        <w:pStyle w:val="ListParagraph"/>
        <w:numPr>
          <w:ilvl w:val="0"/>
          <w:numId w:val="3"/>
        </w:numPr>
        <w:spacing w:after="80"/>
      </w:pPr>
      <w:r>
        <w:t xml:space="preserve">Legal Hold: blocks deletion of specific records past retention, for active legal matters.</w:t>
      </w:r>
    </w:p>
    <w:p>
      <w:pPr>
        <w:pStyle w:val="ListParagraph"/>
        <w:numPr>
          <w:ilvl w:val="0"/>
          <w:numId w:val="3"/>
        </w:numPr>
        <w:spacing w:after="80"/>
      </w:pPr>
      <w:r>
        <w:t xml:space="preserve">Regex: validates filenames automatically at ingestion — always anchor with ^ and $.</w:t>
      </w:r>
    </w:p>
    <w:p>
      <w:pPr>
        <w:spacing w:after="120"/>
      </w:pPr>
    </w:p>
    <w:p>
      <w:pPr>
        <w:spacing w:after="160"/>
      </w:pPr>
      <w:r>
        <w:rPr>
          <w:i/>
          <w:iCs/>
          <w:color w:val="595959"/>
          <w:sz w:val="18"/>
          <w:szCs w:val="18"/>
        </w:rPr>
        <w:t xml:space="preserve">End of document.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SRMS — Knowledge Transfer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4A" w:sz="6" w:space="4"/>
      </w:pBdr>
      <w:spacing w:after="200" w:before="360"/>
      <w:outlineLvl w:val="0"/>
    </w:pPr>
    <w:rPr>
      <w:rFonts w:ascii="Arial" w:cs="Arial" w:eastAsia="Arial" w:hAnsi="Arial"/>
      <w:b/>
      <w:bCs/>
      <w:color w:val="1F6F4A"/>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2026-06-21T15:41:50.774Z</dcterms:created>
  <dcterms:modified xsi:type="dcterms:W3CDTF">2026-06-21T15:41:50.774Z</dcterms:modified>
</cp:coreProperties>
</file>

<file path=docProps/custom.xml><?xml version="1.0" encoding="utf-8"?>
<Properties xmlns="http://schemas.openxmlformats.org/officeDocument/2006/custom-properties" xmlns:vt="http://schemas.openxmlformats.org/officeDocument/2006/docPropsVTypes"/>
</file>