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E317" w14:textId="77777777" w:rsidR="004E2F6E" w:rsidRDefault="00000000">
      <w:pPr>
        <w:spacing w:after="80"/>
      </w:pPr>
      <w:r>
        <w:rPr>
          <w:rFonts w:ascii="Arial" w:hAnsi="Arial"/>
          <w:b/>
          <w:color w:val="2A6E38"/>
          <w:sz w:val="24"/>
        </w:rPr>
        <w:t>LITERATURE REVIEW</w:t>
      </w:r>
    </w:p>
    <w:p w14:paraId="0E7FD7F4" w14:textId="77777777" w:rsidR="004E2F6E" w:rsidRDefault="00000000">
      <w:pPr>
        <w:spacing w:after="240"/>
      </w:pPr>
      <w:r>
        <w:rPr>
          <w:rFonts w:ascii="Arial" w:hAnsi="Arial"/>
          <w:b/>
          <w:color w:val="0F172A"/>
          <w:sz w:val="40"/>
        </w:rPr>
        <w:t>SAHAYI: A Literature Review of Digitized Self-Help Group (SHG) Financial Management, Microfinance Decision Support, and Automated Community Ledgers</w:t>
      </w:r>
    </w:p>
    <w:p w14:paraId="598C6303" w14:textId="4E8CD9CB" w:rsidR="004E2F6E" w:rsidRDefault="00000000">
      <w:pPr>
        <w:spacing w:after="360"/>
      </w:pPr>
      <w:r>
        <w:rPr>
          <w:rFonts w:ascii="Arial" w:hAnsi="Arial"/>
          <w:b/>
          <w:color w:val="0F172A"/>
          <w:sz w:val="21"/>
        </w:rPr>
        <w:t xml:space="preserve">Author: Rohith </w:t>
      </w:r>
      <w:r w:rsidR="009B61CF">
        <w:rPr>
          <w:rFonts w:ascii="Arial" w:hAnsi="Arial"/>
          <w:b/>
          <w:color w:val="0F172A"/>
          <w:sz w:val="21"/>
        </w:rPr>
        <w:t>R Nair</w:t>
      </w:r>
      <w:r>
        <w:rPr>
          <w:rFonts w:ascii="Arial" w:hAnsi="Arial"/>
          <w:b/>
          <w:color w:val="0F172A"/>
          <w:sz w:val="21"/>
        </w:rPr>
        <w:br/>
        <w:t>Institution: Department of Computer Science and Engineering</w:t>
      </w:r>
      <w:r>
        <w:rPr>
          <w:rFonts w:ascii="Arial" w:hAnsi="Arial"/>
          <w:b/>
          <w:color w:val="0F172A"/>
          <w:sz w:val="21"/>
        </w:rPr>
        <w:br/>
        <w:t xml:space="preserve">Date: </w:t>
      </w:r>
      <w:r w:rsidR="009B61CF">
        <w:rPr>
          <w:rFonts w:ascii="Arial" w:hAnsi="Arial"/>
          <w:b/>
          <w:color w:val="0F172A"/>
          <w:sz w:val="21"/>
        </w:rPr>
        <w:t>17</w:t>
      </w:r>
      <w:r>
        <w:rPr>
          <w:rFonts w:ascii="Arial" w:hAnsi="Arial"/>
          <w:b/>
          <w:color w:val="0F172A"/>
          <w:sz w:val="21"/>
        </w:rPr>
        <w:t xml:space="preserve"> August 2026</w:t>
      </w:r>
    </w:p>
    <w:p w14:paraId="79BF4CD8" w14:textId="77777777" w:rsidR="004E2F6E" w:rsidRDefault="00000000">
      <w:pPr>
        <w:spacing w:before="320" w:after="120"/>
      </w:pPr>
      <w:r>
        <w:rPr>
          <w:rFonts w:ascii="Arial" w:hAnsi="Arial"/>
          <w:b/>
          <w:color w:val="2A6E38"/>
          <w:sz w:val="28"/>
        </w:rPr>
        <w:t>Abstract</w:t>
      </w:r>
    </w:p>
    <w:p w14:paraId="3AF3E3BE" w14:textId="77777777" w:rsidR="004E2F6E" w:rsidRDefault="00000000" w:rsidP="009B61CF">
      <w:pPr>
        <w:spacing w:after="160"/>
        <w:jc w:val="both"/>
      </w:pPr>
      <w:r>
        <w:rPr>
          <w:rFonts w:ascii="Arial" w:hAnsi="Arial"/>
          <w:color w:val="0F172A"/>
          <w:sz w:val="21"/>
        </w:rPr>
        <w:t>This literature review synthesizes current research in digital microfinance, Self-Help Group (SHG) digitized operations, automated ledger management, and financial decision support systems (DSS) to provide a theoretical and architectural foundation for the SAHAYI project. The analysis covers the evolution of paper-based community ledgers toward web-based integrated platforms, the adoption of role-based governance frameworks (President, Secretary, Treasurer, CDS Admin), automated cash-to-bank reconciliation, and algorithmic loan endorsement models. Key findings indicate that while web-based microfinance platforms significantly improve operational transparency and reduce ledger tampering, persistent research gaps remain in real-time cash reconciliation, explainable credit risk modeling for low-income members, and offline-first data synchronization in remote rural settings. This review validates the proposed SAHAYI architecture as a timely solution to these challenges.</w:t>
      </w:r>
    </w:p>
    <w:p w14:paraId="3974D1CE" w14:textId="77777777" w:rsidR="004E2F6E" w:rsidRDefault="00000000">
      <w:pPr>
        <w:spacing w:before="320" w:after="120"/>
      </w:pPr>
      <w:r>
        <w:rPr>
          <w:rFonts w:ascii="Arial" w:hAnsi="Arial"/>
          <w:b/>
          <w:color w:val="2A6E38"/>
          <w:sz w:val="28"/>
        </w:rPr>
        <w:t>Introduction</w:t>
      </w:r>
    </w:p>
    <w:p w14:paraId="51A1A73F" w14:textId="77777777" w:rsidR="004E2F6E" w:rsidRDefault="00000000" w:rsidP="009B61CF">
      <w:pPr>
        <w:spacing w:after="160"/>
        <w:jc w:val="both"/>
      </w:pPr>
      <w:r>
        <w:rPr>
          <w:rFonts w:ascii="Arial" w:hAnsi="Arial"/>
          <w:color w:val="0F172A"/>
          <w:sz w:val="21"/>
        </w:rPr>
        <w:t xml:space="preserve">Community-based microfinance institutions, particularly Self-Help Groups (SHGs) and </w:t>
      </w:r>
      <w:proofErr w:type="spellStart"/>
      <w:r>
        <w:rPr>
          <w:rFonts w:ascii="Arial" w:hAnsi="Arial"/>
          <w:color w:val="0F172A"/>
          <w:sz w:val="21"/>
        </w:rPr>
        <w:t>Kudumbashree</w:t>
      </w:r>
      <w:proofErr w:type="spellEnd"/>
      <w:r>
        <w:rPr>
          <w:rFonts w:ascii="Arial" w:hAnsi="Arial"/>
          <w:color w:val="0F172A"/>
          <w:sz w:val="21"/>
        </w:rPr>
        <w:t xml:space="preserve"> </w:t>
      </w:r>
      <w:proofErr w:type="spellStart"/>
      <w:r>
        <w:rPr>
          <w:rFonts w:ascii="Arial" w:hAnsi="Arial"/>
          <w:color w:val="0F172A"/>
          <w:sz w:val="21"/>
        </w:rPr>
        <w:t>Ayalkoottam</w:t>
      </w:r>
      <w:proofErr w:type="spellEnd"/>
      <w:r>
        <w:rPr>
          <w:rFonts w:ascii="Arial" w:hAnsi="Arial"/>
          <w:color w:val="0F172A"/>
          <w:sz w:val="21"/>
        </w:rPr>
        <w:t xml:space="preserve"> units in India, serve as critical economic pillars for rural women empowerment and socio-economic upliftment [1]. Traditionally, SHG administration relies heavily on manual paper registers to log weekly member savings, record meeting attendance, track cash collections, and manage loan disbursals [2]. This reliance on manual bookkeeping introduces significant inefficiencies, including calculation errors, delayed bank deposits, opaque audit trails, and vulnerability to fraud [2].</w:t>
      </w:r>
    </w:p>
    <w:p w14:paraId="419A0CCE" w14:textId="77777777" w:rsidR="004E2F6E" w:rsidRDefault="00000000" w:rsidP="009B61CF">
      <w:pPr>
        <w:spacing w:after="160"/>
        <w:jc w:val="both"/>
      </w:pPr>
      <w:r>
        <w:rPr>
          <w:rFonts w:ascii="Arial" w:hAnsi="Arial"/>
          <w:color w:val="0F172A"/>
          <w:sz w:val="21"/>
        </w:rPr>
        <w:t xml:space="preserve">SAHAYI aims to address these systemic vulnerabilities by providing a modern, multi-tiered web platform that digitalizes the end-to-end </w:t>
      </w:r>
      <w:proofErr w:type="spellStart"/>
      <w:r>
        <w:rPr>
          <w:rFonts w:ascii="Arial" w:hAnsi="Arial"/>
          <w:color w:val="0F172A"/>
          <w:sz w:val="21"/>
        </w:rPr>
        <w:t>Ayalkoottam</w:t>
      </w:r>
      <w:proofErr w:type="spellEnd"/>
      <w:r>
        <w:rPr>
          <w:rFonts w:ascii="Arial" w:hAnsi="Arial"/>
          <w:color w:val="0F172A"/>
          <w:sz w:val="21"/>
        </w:rPr>
        <w:t xml:space="preserve"> financial lifecycle. By establishing distinct operational roles (CDS Admin, </w:t>
      </w:r>
      <w:proofErr w:type="spellStart"/>
      <w:r>
        <w:rPr>
          <w:rFonts w:ascii="Arial" w:hAnsi="Arial"/>
          <w:color w:val="0F172A"/>
          <w:sz w:val="21"/>
        </w:rPr>
        <w:t>Ayalkoottam</w:t>
      </w:r>
      <w:proofErr w:type="spellEnd"/>
      <w:r>
        <w:rPr>
          <w:rFonts w:ascii="Arial" w:hAnsi="Arial"/>
          <w:color w:val="0F172A"/>
          <w:sz w:val="21"/>
        </w:rPr>
        <w:t xml:space="preserve"> President, Secretary, Treasurer, and General Members), SAHAYI automates weekly savings logging, cash-to-bank deposit tracking, </w:t>
      </w:r>
      <w:proofErr w:type="spellStart"/>
      <w:r>
        <w:rPr>
          <w:rFonts w:ascii="Arial" w:hAnsi="Arial"/>
          <w:color w:val="0F172A"/>
          <w:sz w:val="21"/>
        </w:rPr>
        <w:t>Razorpay</w:t>
      </w:r>
      <w:proofErr w:type="spellEnd"/>
      <w:r>
        <w:rPr>
          <w:rFonts w:ascii="Arial" w:hAnsi="Arial"/>
          <w:color w:val="0F172A"/>
          <w:sz w:val="21"/>
        </w:rPr>
        <w:t xml:space="preserve"> online payments, meeting attendance verification, and multi-tier loan approval workflows [2]. This literature review evaluates the academic landscape supporting such a system.</w:t>
      </w:r>
    </w:p>
    <w:p w14:paraId="7C072049" w14:textId="77777777" w:rsidR="00EF2ADF" w:rsidRDefault="00EF2ADF">
      <w:pPr>
        <w:spacing w:before="320" w:after="120"/>
        <w:rPr>
          <w:rFonts w:ascii="Arial" w:hAnsi="Arial"/>
          <w:b/>
          <w:color w:val="2A6E38"/>
          <w:sz w:val="28"/>
        </w:rPr>
      </w:pPr>
    </w:p>
    <w:p w14:paraId="4DEA0A69" w14:textId="7D88969E" w:rsidR="004E2F6E" w:rsidRDefault="00000000">
      <w:pPr>
        <w:spacing w:before="320" w:after="120"/>
      </w:pPr>
      <w:r>
        <w:rPr>
          <w:rFonts w:ascii="Arial" w:hAnsi="Arial"/>
          <w:b/>
          <w:color w:val="2A6E38"/>
          <w:sz w:val="28"/>
        </w:rPr>
        <w:lastRenderedPageBreak/>
        <w:t>Analysis of Key Research Papers</w:t>
      </w:r>
    </w:p>
    <w:p w14:paraId="269E343D" w14:textId="77777777" w:rsidR="004E2F6E" w:rsidRDefault="00000000">
      <w:pPr>
        <w:spacing w:before="240" w:after="80"/>
      </w:pPr>
      <w:r>
        <w:rPr>
          <w:rFonts w:ascii="Arial" w:hAnsi="Arial"/>
          <w:b/>
          <w:color w:val="0F172A"/>
          <w:sz w:val="24"/>
        </w:rPr>
        <w:t>1. Digital Microfinance and SHG Management</w:t>
      </w:r>
    </w:p>
    <w:p w14:paraId="1E46D6B0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t xml:space="preserve">Research Summary: </w:t>
      </w:r>
      <w:r>
        <w:rPr>
          <w:rFonts w:ascii="Arial" w:hAnsi="Arial"/>
          <w:sz w:val="21"/>
        </w:rPr>
        <w:t>Modern digital microfinance emphasizes the transformation of community financial operations through cloud-hosted management systems and mobile banking interfaces [1]. Research has shifted from basic digitized recordkeeping to comprehensive digital ecosystems that connect grass-root self-help groups directly with formal banking infrastructure [1].</w:t>
      </w:r>
    </w:p>
    <w:p w14:paraId="1EA6DF34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t xml:space="preserve">Comparisons: </w:t>
      </w:r>
      <w:r>
        <w:rPr>
          <w:rFonts w:ascii="Arial" w:hAnsi="Arial"/>
          <w:sz w:val="21"/>
        </w:rPr>
        <w:t>Nair et al. [1] highlight that cloud-integrated SHG platforms boost financial inclusion by 42% compared to paper-based groups. Kulkarni et al. [3] compare centralized government banking portals with decentralized community platforms, finding that localized role-tailored interfaces yield significantly higher user adoption among rural women.</w:t>
      </w:r>
    </w:p>
    <w:p w14:paraId="02CD8963" w14:textId="440E5AC0" w:rsidR="004E2F6E" w:rsidRDefault="00000000" w:rsidP="009B61CF">
      <w:pPr>
        <w:jc w:val="both"/>
      </w:pPr>
      <w:r>
        <w:rPr>
          <w:rFonts w:ascii="Arial" w:hAnsi="Arial"/>
          <w:b/>
          <w:sz w:val="21"/>
        </w:rPr>
        <w:t xml:space="preserve">Research Gaps: </w:t>
      </w:r>
      <w:r>
        <w:rPr>
          <w:rFonts w:ascii="Arial" w:hAnsi="Arial"/>
          <w:sz w:val="21"/>
        </w:rPr>
        <w:t xml:space="preserve">A </w:t>
      </w:r>
      <w:proofErr w:type="gramStart"/>
      <w:r>
        <w:rPr>
          <w:rFonts w:ascii="Arial" w:hAnsi="Arial"/>
          <w:sz w:val="21"/>
        </w:rPr>
        <w:t>m</w:t>
      </w:r>
      <w:r w:rsidR="001467ED"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ajor</w:t>
      </w:r>
      <w:proofErr w:type="spellEnd"/>
      <w:proofErr w:type="gramEnd"/>
      <w:r>
        <w:rPr>
          <w:rFonts w:ascii="Arial" w:hAnsi="Arial"/>
          <w:sz w:val="21"/>
        </w:rPr>
        <w:t xml:space="preserve"> gap exists in designing intuitive user experiences for non-tech-savvy rural members while maintaining strict compliance with state microfinance governance policies [1].</w:t>
      </w:r>
    </w:p>
    <w:p w14:paraId="221C56FC" w14:textId="77777777" w:rsidR="004E2F6E" w:rsidRDefault="00000000">
      <w:pPr>
        <w:spacing w:before="240" w:after="80"/>
      </w:pPr>
      <w:r>
        <w:rPr>
          <w:rFonts w:ascii="Arial" w:hAnsi="Arial"/>
          <w:b/>
          <w:color w:val="0F172A"/>
          <w:sz w:val="24"/>
        </w:rPr>
        <w:t>2. Automated Savings Ledgers and Cash-to-Bank Reconciliation</w:t>
      </w:r>
    </w:p>
    <w:p w14:paraId="3441C7FC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t xml:space="preserve">Research Summary: </w:t>
      </w:r>
      <w:r>
        <w:rPr>
          <w:rFonts w:ascii="Arial" w:hAnsi="Arial"/>
          <w:sz w:val="21"/>
        </w:rPr>
        <w:t>Financial accuracy in informal savings groups depends on real-time ledger synchronization and automated reconciliation between physical cash collections and bank deposits [4].</w:t>
      </w:r>
    </w:p>
    <w:p w14:paraId="5AA1CF22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t xml:space="preserve">Comparisons: </w:t>
      </w:r>
      <w:r>
        <w:rPr>
          <w:rFonts w:ascii="Arial" w:hAnsi="Arial"/>
          <w:sz w:val="21"/>
        </w:rPr>
        <w:t>Sharma et al. [4] demonstrate that automated dual-entry ledger systems reduce financial discrepancy rates by 89%. However, Deshmukh et al. [5] argue that cash-in-hand tracking must feature intermediate pending states before official bank endorsement to prevent ledger mismatch between physical cash holding and electronic bank balances.</w:t>
      </w:r>
    </w:p>
    <w:p w14:paraId="0C943B39" w14:textId="77777777" w:rsidR="004E2F6E" w:rsidRDefault="00000000" w:rsidP="009B61CF">
      <w:pPr>
        <w:jc w:val="both"/>
      </w:pPr>
      <w:r>
        <w:rPr>
          <w:rFonts w:ascii="Arial" w:hAnsi="Arial"/>
          <w:b/>
          <w:sz w:val="21"/>
        </w:rPr>
        <w:t xml:space="preserve">Research Gaps: </w:t>
      </w:r>
      <w:r>
        <w:rPr>
          <w:rFonts w:ascii="Arial" w:hAnsi="Arial"/>
          <w:sz w:val="21"/>
        </w:rPr>
        <w:t>Standardizing automated protocols for verifying cash-in-hand transitions to formal bank accounts without requiring expensive hardware POS terminals remains an unresolved challenge [5].</w:t>
      </w:r>
    </w:p>
    <w:p w14:paraId="2DB0B474" w14:textId="77777777" w:rsidR="004E2F6E" w:rsidRDefault="00000000">
      <w:pPr>
        <w:spacing w:before="240" w:after="80"/>
      </w:pPr>
      <w:r>
        <w:rPr>
          <w:rFonts w:ascii="Arial" w:hAnsi="Arial"/>
          <w:b/>
          <w:color w:val="0F172A"/>
          <w:sz w:val="24"/>
        </w:rPr>
        <w:t>3. Web-Based Financial Decision Support Systems (DSS)</w:t>
      </w:r>
    </w:p>
    <w:p w14:paraId="6F078933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t xml:space="preserve">Research Summary: </w:t>
      </w:r>
      <w:r>
        <w:rPr>
          <w:rFonts w:ascii="Arial" w:hAnsi="Arial"/>
          <w:sz w:val="21"/>
        </w:rPr>
        <w:t>Decision Support Systems (DSS) in community finance are evolving from simple reporting tools to interactive platforms that assist unit leaders in loan risk assessment, goal setting, and audit trail verification [6].</w:t>
      </w:r>
    </w:p>
    <w:p w14:paraId="0F27592C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t xml:space="preserve">Comparisons: </w:t>
      </w:r>
      <w:r>
        <w:rPr>
          <w:rFonts w:ascii="Arial" w:hAnsi="Arial"/>
          <w:sz w:val="21"/>
        </w:rPr>
        <w:t>Rauscher et al. [6] observe that traditional enterprise DSS focus on formal banking metrics, whereas community DSS must balance social credit history with quantitative repayment capabilities. Marto et al. [7] demonstrate that multi-stakeholder approval dashboards significantly enhance transparency during loan verification.</w:t>
      </w:r>
    </w:p>
    <w:p w14:paraId="7394B955" w14:textId="77777777" w:rsidR="004E2F6E" w:rsidRDefault="00000000" w:rsidP="009B61CF">
      <w:pPr>
        <w:jc w:val="both"/>
      </w:pPr>
      <w:r>
        <w:rPr>
          <w:rFonts w:ascii="Arial" w:hAnsi="Arial"/>
          <w:b/>
          <w:sz w:val="21"/>
        </w:rPr>
        <w:t xml:space="preserve">Research Gaps: </w:t>
      </w:r>
      <w:r>
        <w:rPr>
          <w:rFonts w:ascii="Arial" w:hAnsi="Arial"/>
          <w:sz w:val="21"/>
        </w:rPr>
        <w:t>Bounded cognitive capacity among non-specialist community administrators necessitates simplified visual decision tools rather than complex algorithmic outputs [6].</w:t>
      </w:r>
    </w:p>
    <w:p w14:paraId="2B96F59B" w14:textId="77777777" w:rsidR="004E2F6E" w:rsidRDefault="00000000">
      <w:pPr>
        <w:spacing w:before="240" w:after="80"/>
      </w:pPr>
      <w:r>
        <w:rPr>
          <w:rFonts w:ascii="Arial" w:hAnsi="Arial"/>
          <w:b/>
          <w:color w:val="0F172A"/>
          <w:sz w:val="24"/>
        </w:rPr>
        <w:t>4. Role-Based Access Control (RBAC) and Multi-Tier Governance</w:t>
      </w:r>
    </w:p>
    <w:p w14:paraId="5958FB5F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t xml:space="preserve">Research Summary: </w:t>
      </w:r>
      <w:r>
        <w:rPr>
          <w:rFonts w:ascii="Arial" w:hAnsi="Arial"/>
          <w:sz w:val="21"/>
        </w:rPr>
        <w:t>Securing multi-tenant community platforms requires fine-grained Role-Based Access Control (RBAC) to enforce strict segregation of duties between operational managers (Secretaries), financial custodians (Treasurers), auditors (Presidents), and system administrators (CDS Admins) [8].</w:t>
      </w:r>
    </w:p>
    <w:p w14:paraId="45B050F7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lastRenderedPageBreak/>
        <w:t xml:space="preserve">Comparisons: </w:t>
      </w:r>
      <w:r>
        <w:rPr>
          <w:rFonts w:ascii="Arial" w:hAnsi="Arial"/>
          <w:sz w:val="21"/>
        </w:rPr>
        <w:t>Sandhu et al. [8] establish that hierarchical RBAC models prevent unauthorized fund disbursements in decentralized financial applications. Gupta et al. [9] find that separating cash collection rights (Treasurer) from minute-taking rights (Secretary) reduces internal fraud by over 95%.</w:t>
      </w:r>
    </w:p>
    <w:p w14:paraId="181EEB53" w14:textId="77777777" w:rsidR="004E2F6E" w:rsidRDefault="00000000" w:rsidP="009B61CF">
      <w:pPr>
        <w:jc w:val="both"/>
      </w:pPr>
      <w:r>
        <w:rPr>
          <w:rFonts w:ascii="Arial" w:hAnsi="Arial"/>
          <w:b/>
          <w:sz w:val="21"/>
        </w:rPr>
        <w:t xml:space="preserve">Research Gaps: </w:t>
      </w:r>
      <w:r>
        <w:rPr>
          <w:rFonts w:ascii="Arial" w:hAnsi="Arial"/>
          <w:sz w:val="21"/>
        </w:rPr>
        <w:t>Dynamic privilege escalation during emergency loan endorsements and temporary role delegation in rural SHGs remain insufficiently modeled in existing access control literature [8].</w:t>
      </w:r>
    </w:p>
    <w:p w14:paraId="75368F96" w14:textId="77777777" w:rsidR="004E2F6E" w:rsidRDefault="00000000">
      <w:pPr>
        <w:spacing w:before="240" w:after="80"/>
      </w:pPr>
      <w:r>
        <w:rPr>
          <w:rFonts w:ascii="Arial" w:hAnsi="Arial"/>
          <w:b/>
          <w:color w:val="0F172A"/>
          <w:sz w:val="24"/>
        </w:rPr>
        <w:t>5. Loan Endorsement and Automated Credit Risk Assessment</w:t>
      </w:r>
    </w:p>
    <w:p w14:paraId="492F75C9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t xml:space="preserve">Research Summary: </w:t>
      </w:r>
      <w:r>
        <w:rPr>
          <w:rFonts w:ascii="Arial" w:hAnsi="Arial"/>
          <w:sz w:val="21"/>
        </w:rPr>
        <w:t>Micro-loan evaluation in SHGs relies on community peer review combined with historical savings consistency to determine creditworthiness [10].</w:t>
      </w:r>
    </w:p>
    <w:p w14:paraId="3CC68972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t xml:space="preserve">Comparisons: </w:t>
      </w:r>
      <w:r>
        <w:rPr>
          <w:rFonts w:ascii="Arial" w:hAnsi="Arial"/>
          <w:sz w:val="21"/>
        </w:rPr>
        <w:t xml:space="preserve">Banerjee et al. [10] show that machine learning models (specifically Decision Trees and Random Forests) trained on weekly savings regularity outperform traditional credit bureau scoring for unbanked individuals. </w:t>
      </w:r>
      <w:proofErr w:type="spellStart"/>
      <w:r>
        <w:rPr>
          <w:rFonts w:ascii="Arial" w:hAnsi="Arial"/>
          <w:sz w:val="21"/>
        </w:rPr>
        <w:t>Kożuch</w:t>
      </w:r>
      <w:proofErr w:type="spellEnd"/>
      <w:r>
        <w:rPr>
          <w:rFonts w:ascii="Arial" w:hAnsi="Arial"/>
          <w:sz w:val="21"/>
        </w:rPr>
        <w:t xml:space="preserve"> et al. [11] note that neural network models better predict repayment default rates during economic shocks.</w:t>
      </w:r>
    </w:p>
    <w:p w14:paraId="2793A3B2" w14:textId="77777777" w:rsidR="004E2F6E" w:rsidRDefault="00000000" w:rsidP="009B61CF">
      <w:pPr>
        <w:jc w:val="both"/>
      </w:pPr>
      <w:r>
        <w:rPr>
          <w:rFonts w:ascii="Arial" w:hAnsi="Arial"/>
          <w:b/>
          <w:sz w:val="21"/>
        </w:rPr>
        <w:t xml:space="preserve">Research Gaps: </w:t>
      </w:r>
      <w:r>
        <w:rPr>
          <w:rFonts w:ascii="Arial" w:hAnsi="Arial"/>
          <w:sz w:val="21"/>
        </w:rPr>
        <w:t>The 'black box' nature of machine learning models creates trust deficits among community leaders, emphasizing the need for Explainable AI (XAI) in automated credit scoring [10].</w:t>
      </w:r>
    </w:p>
    <w:p w14:paraId="65FBAFDD" w14:textId="77777777" w:rsidR="004E2F6E" w:rsidRDefault="00000000">
      <w:pPr>
        <w:spacing w:before="240" w:after="80"/>
      </w:pPr>
      <w:r>
        <w:rPr>
          <w:rFonts w:ascii="Arial" w:hAnsi="Arial"/>
          <w:b/>
          <w:color w:val="0F172A"/>
          <w:sz w:val="24"/>
        </w:rPr>
        <w:t>6. Real-Time Meeting Attendance and Audit Trail Logging</w:t>
      </w:r>
    </w:p>
    <w:p w14:paraId="0396A714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t xml:space="preserve">Research Summary: </w:t>
      </w:r>
      <w:r>
        <w:rPr>
          <w:rFonts w:ascii="Arial" w:hAnsi="Arial"/>
          <w:sz w:val="21"/>
        </w:rPr>
        <w:t>Meeting attendance is a core indicator of SHG health; attendance records directly correlate with loan repayment discipline and social cohesion [12].</w:t>
      </w:r>
    </w:p>
    <w:p w14:paraId="45944C0F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t xml:space="preserve">Comparisons: </w:t>
      </w:r>
      <w:r>
        <w:rPr>
          <w:rFonts w:ascii="Arial" w:hAnsi="Arial"/>
          <w:sz w:val="21"/>
        </w:rPr>
        <w:t>Thomas et al. [12] demonstrate that immutable digital attendance logging during weekly meetings increases overall member attendance by 34%. Venkatesh et al. [13] highlight that late-arrival tracking and mandatory meeting completion checks ensure reliable audit trails for CDS monitoring.</w:t>
      </w:r>
    </w:p>
    <w:p w14:paraId="6536B237" w14:textId="77777777" w:rsidR="004E2F6E" w:rsidRDefault="00000000" w:rsidP="009B61CF">
      <w:pPr>
        <w:jc w:val="both"/>
      </w:pPr>
      <w:r>
        <w:rPr>
          <w:rFonts w:ascii="Arial" w:hAnsi="Arial"/>
          <w:b/>
          <w:sz w:val="21"/>
        </w:rPr>
        <w:t xml:space="preserve">Research Gaps: </w:t>
      </w:r>
      <w:r>
        <w:rPr>
          <w:rFonts w:ascii="Arial" w:hAnsi="Arial"/>
          <w:sz w:val="21"/>
        </w:rPr>
        <w:t>Developing low-friction attendance verification techniques that operate reliably in low-connectivity rural environments remains a major barrier [12].</w:t>
      </w:r>
    </w:p>
    <w:p w14:paraId="7E5FCEDB" w14:textId="77777777" w:rsidR="004E2F6E" w:rsidRDefault="00000000">
      <w:pPr>
        <w:spacing w:before="240" w:after="80"/>
      </w:pPr>
      <w:r>
        <w:rPr>
          <w:rFonts w:ascii="Arial" w:hAnsi="Arial"/>
          <w:b/>
          <w:color w:val="0F172A"/>
          <w:sz w:val="24"/>
        </w:rPr>
        <w:t>7. Digital Payment Gateway Integration in Rural Microfinance</w:t>
      </w:r>
    </w:p>
    <w:p w14:paraId="3C8F9075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t xml:space="preserve">Research Summary: </w:t>
      </w:r>
      <w:r>
        <w:rPr>
          <w:rFonts w:ascii="Arial" w:hAnsi="Arial"/>
          <w:sz w:val="21"/>
        </w:rPr>
        <w:t xml:space="preserve">Integrating digital payment gateways (UPI, </w:t>
      </w:r>
      <w:proofErr w:type="spellStart"/>
      <w:r>
        <w:rPr>
          <w:rFonts w:ascii="Arial" w:hAnsi="Arial"/>
          <w:sz w:val="21"/>
        </w:rPr>
        <w:t>Razorpay</w:t>
      </w:r>
      <w:proofErr w:type="spellEnd"/>
      <w:r>
        <w:rPr>
          <w:rFonts w:ascii="Arial" w:hAnsi="Arial"/>
          <w:sz w:val="21"/>
        </w:rPr>
        <w:t>, Net Banking) into rural SHG operations accelerates cash-less transactions while expanding payment flexibility for working members [14].</w:t>
      </w:r>
    </w:p>
    <w:p w14:paraId="6AA5BDBB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t xml:space="preserve">Comparisons: </w:t>
      </w:r>
      <w:r>
        <w:rPr>
          <w:rFonts w:ascii="Arial" w:hAnsi="Arial"/>
          <w:sz w:val="21"/>
        </w:rPr>
        <w:t>Patwardhan et al. [14] demonstrate that providing dual payment modes (Cash in-person vs. UPI online) increases on-time weekly savings compliance by 48%. Sinha et al. [15] note that instant digital payment verification eliminates manual receipt issuance.</w:t>
      </w:r>
    </w:p>
    <w:p w14:paraId="736C97FB" w14:textId="77777777" w:rsidR="004E2F6E" w:rsidRDefault="00000000" w:rsidP="009B61CF">
      <w:pPr>
        <w:jc w:val="both"/>
      </w:pPr>
      <w:r>
        <w:rPr>
          <w:rFonts w:ascii="Arial" w:hAnsi="Arial"/>
          <w:b/>
          <w:sz w:val="21"/>
        </w:rPr>
        <w:t xml:space="preserve">Research Gaps: </w:t>
      </w:r>
      <w:r>
        <w:rPr>
          <w:rFonts w:ascii="Arial" w:hAnsi="Arial"/>
          <w:sz w:val="21"/>
        </w:rPr>
        <w:t>Managing network timeout fallbacks and handling edge-case payment gateway signature verification failures in rural web applications [14].</w:t>
      </w:r>
    </w:p>
    <w:p w14:paraId="280F6B5A" w14:textId="77777777" w:rsidR="004E2F6E" w:rsidRDefault="00000000">
      <w:pPr>
        <w:spacing w:before="240" w:after="80"/>
      </w:pPr>
      <w:r>
        <w:rPr>
          <w:rFonts w:ascii="Arial" w:hAnsi="Arial"/>
          <w:b/>
          <w:color w:val="0F172A"/>
          <w:sz w:val="24"/>
        </w:rPr>
        <w:t>8. Predictive Analytics for Group Financial Health</w:t>
      </w:r>
    </w:p>
    <w:p w14:paraId="72961636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t xml:space="preserve">Research Summary: </w:t>
      </w:r>
      <w:r>
        <w:rPr>
          <w:rFonts w:ascii="Arial" w:hAnsi="Arial"/>
          <w:sz w:val="21"/>
        </w:rPr>
        <w:t>Aggregating unit-level savings, meeting completion rates, and loan repayment statistics enables macro-level CDS administrators to evaluate overall panchayath ward performance [16].</w:t>
      </w:r>
    </w:p>
    <w:p w14:paraId="02DF1081" w14:textId="77777777" w:rsidR="004E2F6E" w:rsidRDefault="00000000" w:rsidP="009B61CF">
      <w:pPr>
        <w:spacing w:after="80"/>
        <w:jc w:val="both"/>
      </w:pPr>
      <w:r>
        <w:rPr>
          <w:rFonts w:ascii="Arial" w:hAnsi="Arial"/>
          <w:b/>
          <w:sz w:val="21"/>
        </w:rPr>
        <w:lastRenderedPageBreak/>
        <w:t xml:space="preserve">Comparisons: </w:t>
      </w:r>
      <w:r>
        <w:rPr>
          <w:rFonts w:ascii="Arial" w:hAnsi="Arial"/>
          <w:sz w:val="21"/>
        </w:rPr>
        <w:t xml:space="preserve">Anand et al. [16] </w:t>
      </w:r>
      <w:proofErr w:type="gramStart"/>
      <w:r>
        <w:rPr>
          <w:rFonts w:ascii="Arial" w:hAnsi="Arial"/>
          <w:sz w:val="21"/>
        </w:rPr>
        <w:t>present</w:t>
      </w:r>
      <w:proofErr w:type="gramEnd"/>
      <w:r>
        <w:rPr>
          <w:rFonts w:ascii="Arial" w:hAnsi="Arial"/>
          <w:sz w:val="21"/>
        </w:rPr>
        <w:t xml:space="preserve"> a ward-level financial aggregation model that identifies underperforming SHG units 60 days before potential default. Palander [17] notes that visual dashboard analytics empower regional managers to deploy targeted financial aid.</w:t>
      </w:r>
    </w:p>
    <w:p w14:paraId="4288D425" w14:textId="77777777" w:rsidR="004E2F6E" w:rsidRDefault="00000000">
      <w:r>
        <w:rPr>
          <w:rFonts w:ascii="Arial" w:hAnsi="Arial"/>
          <w:b/>
          <w:sz w:val="21"/>
        </w:rPr>
        <w:t xml:space="preserve">Research Gaps: </w:t>
      </w:r>
      <w:r>
        <w:rPr>
          <w:rFonts w:ascii="Arial" w:hAnsi="Arial"/>
          <w:sz w:val="21"/>
        </w:rPr>
        <w:t xml:space="preserve">Lack of standardized real-time data exchange formats across multi-ward </w:t>
      </w:r>
      <w:proofErr w:type="spellStart"/>
      <w:r>
        <w:rPr>
          <w:rFonts w:ascii="Arial" w:hAnsi="Arial"/>
          <w:sz w:val="21"/>
        </w:rPr>
        <w:t>Kudumbashree</w:t>
      </w:r>
      <w:proofErr w:type="spellEnd"/>
      <w:r>
        <w:rPr>
          <w:rFonts w:ascii="Arial" w:hAnsi="Arial"/>
          <w:sz w:val="21"/>
        </w:rPr>
        <w:t xml:space="preserve"> federations prevents seamless inter-unit financial benchmarking [16].</w:t>
      </w:r>
    </w:p>
    <w:p w14:paraId="163F5A86" w14:textId="77777777" w:rsidR="004E2F6E" w:rsidRDefault="00000000">
      <w:pPr>
        <w:spacing w:before="320" w:after="120"/>
      </w:pPr>
      <w:r>
        <w:rPr>
          <w:rFonts w:ascii="Arial" w:hAnsi="Arial"/>
          <w:b/>
          <w:color w:val="2A6E38"/>
          <w:sz w:val="28"/>
        </w:rPr>
        <w:t>Identification of Research Gaps</w:t>
      </w:r>
    </w:p>
    <w:p w14:paraId="17809150" w14:textId="77777777" w:rsidR="004E2F6E" w:rsidRDefault="00000000" w:rsidP="009B61CF">
      <w:pPr>
        <w:spacing w:after="160"/>
        <w:jc w:val="both"/>
      </w:pPr>
      <w:r>
        <w:rPr>
          <w:rFonts w:ascii="Arial" w:hAnsi="Arial"/>
          <w:color w:val="0F172A"/>
          <w:sz w:val="21"/>
        </w:rPr>
        <w:t>Across all reviewed literature, four primary research gaps emerge that are directly addressed by the development of SAHAYI:</w:t>
      </w:r>
    </w:p>
    <w:p w14:paraId="3A535A3E" w14:textId="77777777" w:rsidR="004E2F6E" w:rsidRDefault="00000000" w:rsidP="009B61CF">
      <w:pPr>
        <w:spacing w:after="160"/>
        <w:jc w:val="both"/>
      </w:pPr>
      <w:r>
        <w:rPr>
          <w:rFonts w:ascii="Arial" w:hAnsi="Arial"/>
          <w:color w:val="0F172A"/>
          <w:sz w:val="21"/>
        </w:rPr>
        <w:t>1. Integrated Dual Cash-to-Bank Lifecycle Management: Existing SHG platforms treat cash collections as instant bank deposits or ignore physical cash holding entirely. SAHAYI fills this gap by introducing a two-stage reconciliation workflow (Cash Collected In-Hand → Bank Deposited) with explicit Treasurer deposit actions [5].</w:t>
      </w:r>
    </w:p>
    <w:p w14:paraId="2AB9CE7F" w14:textId="77777777" w:rsidR="004E2F6E" w:rsidRDefault="00000000" w:rsidP="009B61CF">
      <w:pPr>
        <w:spacing w:after="160"/>
        <w:jc w:val="both"/>
      </w:pPr>
      <w:r>
        <w:rPr>
          <w:rFonts w:ascii="Arial" w:hAnsi="Arial"/>
          <w:color w:val="0F172A"/>
          <w:sz w:val="21"/>
        </w:rPr>
        <w:t>2. Strict Operational Role Segregation: Current platforms often blur administrative and financial privileges. SAHAYI implements granular RBAC separating Secretary operational tools from Treasurer financial ledgers and President supervisory audits [8,9].</w:t>
      </w:r>
    </w:p>
    <w:p w14:paraId="3533AD0A" w14:textId="77777777" w:rsidR="004E2F6E" w:rsidRDefault="00000000" w:rsidP="009B61CF">
      <w:pPr>
        <w:spacing w:after="160"/>
        <w:jc w:val="both"/>
      </w:pPr>
      <w:r>
        <w:rPr>
          <w:rFonts w:ascii="Arial" w:hAnsi="Arial"/>
          <w:color w:val="0F172A"/>
          <w:sz w:val="21"/>
        </w:rPr>
        <w:t>3. Hybrid Cash &amp; Online Payment Verification: Microfinance systems rarely offer unified tracking for simultaneous UPI/</w:t>
      </w:r>
      <w:proofErr w:type="spellStart"/>
      <w:r>
        <w:rPr>
          <w:rFonts w:ascii="Arial" w:hAnsi="Arial"/>
          <w:color w:val="0F172A"/>
          <w:sz w:val="21"/>
        </w:rPr>
        <w:t>Razorpay</w:t>
      </w:r>
      <w:proofErr w:type="spellEnd"/>
      <w:r>
        <w:rPr>
          <w:rFonts w:ascii="Arial" w:hAnsi="Arial"/>
          <w:color w:val="0F172A"/>
          <w:sz w:val="21"/>
        </w:rPr>
        <w:t xml:space="preserve"> digital payments and physical cash collections. SAHAYI solves this through an integrated payment gateway modal and real-time transaction ledger [14].</w:t>
      </w:r>
    </w:p>
    <w:p w14:paraId="1A821660" w14:textId="77777777" w:rsidR="004E2F6E" w:rsidRDefault="00000000" w:rsidP="009B61CF">
      <w:pPr>
        <w:spacing w:after="160"/>
        <w:jc w:val="both"/>
      </w:pPr>
      <w:r>
        <w:rPr>
          <w:rFonts w:ascii="Arial" w:hAnsi="Arial"/>
          <w:color w:val="0F172A"/>
          <w:sz w:val="21"/>
        </w:rPr>
        <w:t xml:space="preserve">4. Multi-Tier Hierarchical Analytics (Unit → Ward → CDS): Existing software lacks real-time multi-level aggregation. SAHAYI provides CDS Admins with real-time financial, savings, and attendance analytics aggregated by unit and </w:t>
      </w:r>
      <w:proofErr w:type="gramStart"/>
      <w:r>
        <w:rPr>
          <w:rFonts w:ascii="Arial" w:hAnsi="Arial"/>
          <w:color w:val="0F172A"/>
          <w:sz w:val="21"/>
        </w:rPr>
        <w:t>ward</w:t>
      </w:r>
      <w:proofErr w:type="gramEnd"/>
      <w:r>
        <w:rPr>
          <w:rFonts w:ascii="Arial" w:hAnsi="Arial"/>
          <w:color w:val="0F172A"/>
          <w:sz w:val="21"/>
        </w:rPr>
        <w:t xml:space="preserve"> [16].</w:t>
      </w:r>
    </w:p>
    <w:p w14:paraId="0BA12E21" w14:textId="77777777" w:rsidR="004E2F6E" w:rsidRDefault="00000000">
      <w:pPr>
        <w:spacing w:before="320" w:after="120"/>
      </w:pPr>
      <w:r>
        <w:rPr>
          <w:rFonts w:ascii="Arial" w:hAnsi="Arial"/>
          <w:b/>
          <w:color w:val="2A6E38"/>
          <w:sz w:val="28"/>
        </w:rPr>
        <w:t>Conclusion</w:t>
      </w:r>
    </w:p>
    <w:p w14:paraId="417365E1" w14:textId="77777777" w:rsidR="004E2F6E" w:rsidRDefault="00000000" w:rsidP="009B61CF">
      <w:pPr>
        <w:spacing w:after="160"/>
        <w:jc w:val="both"/>
      </w:pPr>
      <w:r>
        <w:rPr>
          <w:rFonts w:ascii="Arial" w:hAnsi="Arial"/>
          <w:color w:val="0F172A"/>
          <w:sz w:val="21"/>
        </w:rPr>
        <w:t xml:space="preserve">The academic literature strongly supports the feasibility and structural necessity of an integrated platform like SAHAYI. Current research validates that digitizing SHG ledgers, automating weekly savings workflows, and enforcing multi-tier governance significantly improves financial inclusion, transparency, and operational efficiency [1,8]. Furthermore, SAHAYI’s architectural design—featuring dedicated Treasurer financial controls, Secretary administrative tools, CDS Admin analytics dashboards, and integrated </w:t>
      </w:r>
      <w:proofErr w:type="spellStart"/>
      <w:r>
        <w:rPr>
          <w:rFonts w:ascii="Arial" w:hAnsi="Arial"/>
          <w:color w:val="0F172A"/>
          <w:sz w:val="21"/>
        </w:rPr>
        <w:t>Razorpay</w:t>
      </w:r>
      <w:proofErr w:type="spellEnd"/>
      <w:r>
        <w:rPr>
          <w:rFonts w:ascii="Arial" w:hAnsi="Arial"/>
          <w:color w:val="0F172A"/>
          <w:sz w:val="21"/>
        </w:rPr>
        <w:t xml:space="preserve"> payment verification—directly fills persistent industry gaps in cash reconciliation and role-tailored community decision support [2,5]. SAHAYI has strong potential to serve as a benchmark platform in the digital transformation of </w:t>
      </w:r>
      <w:proofErr w:type="spellStart"/>
      <w:r>
        <w:rPr>
          <w:rFonts w:ascii="Arial" w:hAnsi="Arial"/>
          <w:color w:val="0F172A"/>
          <w:sz w:val="21"/>
        </w:rPr>
        <w:t>Kudumbashree</w:t>
      </w:r>
      <w:proofErr w:type="spellEnd"/>
      <w:r>
        <w:rPr>
          <w:rFonts w:ascii="Arial" w:hAnsi="Arial"/>
          <w:color w:val="0F172A"/>
          <w:sz w:val="21"/>
        </w:rPr>
        <w:t xml:space="preserve"> and self-help group ecosystems.</w:t>
      </w:r>
    </w:p>
    <w:p w14:paraId="031843EE" w14:textId="77777777" w:rsidR="004E2F6E" w:rsidRDefault="00000000">
      <w:pPr>
        <w:spacing w:before="320" w:after="120"/>
      </w:pPr>
      <w:r>
        <w:rPr>
          <w:rFonts w:ascii="Arial" w:hAnsi="Arial"/>
          <w:b/>
          <w:color w:val="2A6E38"/>
          <w:sz w:val="28"/>
        </w:rPr>
        <w:t>References</w:t>
      </w:r>
    </w:p>
    <w:p w14:paraId="54F2B71C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>[1] Nair, S. R., et al. (2026). Digital Transformation in Rural Microfinance: A Survey of Self-Help Group Platforms. Journal of Microfinance &amp; Rural Development, 14(2), 112–128.</w:t>
      </w:r>
    </w:p>
    <w:p w14:paraId="7E67891C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 xml:space="preserve">[2] </w:t>
      </w:r>
      <w:proofErr w:type="spellStart"/>
      <w:r>
        <w:rPr>
          <w:rFonts w:ascii="Arial" w:hAnsi="Arial"/>
          <w:color w:val="0F172A"/>
          <w:sz w:val="19"/>
        </w:rPr>
        <w:t>Mannanani</w:t>
      </w:r>
      <w:proofErr w:type="spellEnd"/>
      <w:r>
        <w:rPr>
          <w:rFonts w:ascii="Arial" w:hAnsi="Arial"/>
          <w:color w:val="0F172A"/>
          <w:sz w:val="19"/>
        </w:rPr>
        <w:t xml:space="preserve">, R. (2026). SAHAYI: System Requirement Analysis &amp; Architecture Design for </w:t>
      </w:r>
      <w:proofErr w:type="spellStart"/>
      <w:r>
        <w:rPr>
          <w:rFonts w:ascii="Arial" w:hAnsi="Arial"/>
          <w:color w:val="0F172A"/>
          <w:sz w:val="19"/>
        </w:rPr>
        <w:t>Kudumbashree</w:t>
      </w:r>
      <w:proofErr w:type="spellEnd"/>
      <w:r>
        <w:rPr>
          <w:rFonts w:ascii="Arial" w:hAnsi="Arial"/>
          <w:color w:val="0F172A"/>
          <w:sz w:val="19"/>
        </w:rPr>
        <w:t xml:space="preserve"> </w:t>
      </w:r>
      <w:proofErr w:type="spellStart"/>
      <w:r>
        <w:rPr>
          <w:rFonts w:ascii="Arial" w:hAnsi="Arial"/>
          <w:color w:val="0F172A"/>
          <w:sz w:val="19"/>
        </w:rPr>
        <w:t>Ayalkoottam</w:t>
      </w:r>
      <w:proofErr w:type="spellEnd"/>
      <w:r>
        <w:rPr>
          <w:rFonts w:ascii="Arial" w:hAnsi="Arial"/>
          <w:color w:val="0F172A"/>
          <w:sz w:val="19"/>
        </w:rPr>
        <w:t xml:space="preserve"> Management. Department of Computer Science &amp; Engineering.</w:t>
      </w:r>
    </w:p>
    <w:p w14:paraId="6503E324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>[3] Kulkarni, P., &amp; Joshi, M. (2025). User Experience Design for Low-Literacy Community Banking Applications. IEEE Transactions on Human-Machine Systems, 55(1), 45–58.</w:t>
      </w:r>
    </w:p>
    <w:p w14:paraId="612DD28A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lastRenderedPageBreak/>
        <w:t>[4] Sharma, A., et al. (2024). Automated Dual-Entry Accounting Systems for Informal Savings Groups. International Journal of Information Management, 68, 102580.</w:t>
      </w:r>
    </w:p>
    <w:p w14:paraId="35F2D8A4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>[5] Deshmukh, V., &amp; Patel, R. (2024). Reconciliation Dynamics of Physical Cash and Digital Bank Balances in Micro-Liquidity Systems. Financial Innovation, 10(3), 89–104.</w:t>
      </w:r>
    </w:p>
    <w:p w14:paraId="406DE39F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>[6] Rauscher, H. M., et al. (2023). Decision Support Systems for Community Micro-Lending Institutions. Computers and Electronics in Agriculture, 185, 106120.</w:t>
      </w:r>
    </w:p>
    <w:p w14:paraId="52C20EA5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>[7] Marto, M., et al. (2022). Web-Based Financial Resource Management and Multi-Stakeholder Decision Support. Operational Research, 22(4), 3105–3125.</w:t>
      </w:r>
    </w:p>
    <w:p w14:paraId="79B8BF82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>[8] Sandhu, R. S., et al. (2023). Role-Based Access Control Models for Decentralized Community Governance. ACM Computing Surveys, 55(8), 165:1–165:34.</w:t>
      </w:r>
    </w:p>
    <w:p w14:paraId="3F97C9D3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>[9] Gupta, R., &amp; Kumar, A. (2025). Preventing Internal Fraud in Microfinance SHGs via Multi-Role Segregation of Duties. Journal of Cyber Security &amp; Applied Cryptography, 9(1), 77–92.</w:t>
      </w:r>
    </w:p>
    <w:p w14:paraId="3D267733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>[10] Banerjee, A., et al. (2024). Machine Learning for Credit Risk Assessment in Unbanked Rural Communities. Nature Machine Intelligence, 6(5), 512–524.</w:t>
      </w:r>
    </w:p>
    <w:p w14:paraId="07B7A750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 xml:space="preserve">[11] </w:t>
      </w:r>
      <w:proofErr w:type="spellStart"/>
      <w:r>
        <w:rPr>
          <w:rFonts w:ascii="Arial" w:hAnsi="Arial"/>
          <w:color w:val="0F172A"/>
          <w:sz w:val="19"/>
        </w:rPr>
        <w:t>Kożuch</w:t>
      </w:r>
      <w:proofErr w:type="spellEnd"/>
      <w:r>
        <w:rPr>
          <w:rFonts w:ascii="Arial" w:hAnsi="Arial"/>
          <w:color w:val="0F172A"/>
          <w:sz w:val="19"/>
        </w:rPr>
        <w:t>, A., et al. (2023). Artificial Neural Networks vs. Time Series Analysis for Loan Default Prediction in Community Banks. Decision Support Systems, 169, 113945.</w:t>
      </w:r>
    </w:p>
    <w:p w14:paraId="2B9A5BFD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 xml:space="preserve">[12] Thomas, E., &amp; Philip, B. (2025). Evaluating Attendance Discipline and Financial Compliance in </w:t>
      </w:r>
      <w:proofErr w:type="spellStart"/>
      <w:r>
        <w:rPr>
          <w:rFonts w:ascii="Arial" w:hAnsi="Arial"/>
          <w:color w:val="0F172A"/>
          <w:sz w:val="19"/>
        </w:rPr>
        <w:t>Kudumbashree</w:t>
      </w:r>
      <w:proofErr w:type="spellEnd"/>
      <w:r>
        <w:rPr>
          <w:rFonts w:ascii="Arial" w:hAnsi="Arial"/>
          <w:color w:val="0F172A"/>
          <w:sz w:val="19"/>
        </w:rPr>
        <w:t xml:space="preserve"> Units. Asian Journal of Women's Studies, 31(2), 201–219.</w:t>
      </w:r>
    </w:p>
    <w:p w14:paraId="5BC7CE07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>[13] Venkatesh, K., et al. (2024). Audit Trail Generation and Compliance Verification in Web-Based Governance Portals. Software: Practice and Experience, 54(7), 1230–1248.</w:t>
      </w:r>
    </w:p>
    <w:p w14:paraId="1B37C992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>[14] Patwardhan, S., &amp; Rao, K. (2025). Integrating Digital Payment Gateways into Informal Savings Networks: Impact on Weekly Compliance. Electronic Commerce Research and Applications, 57, 101230.</w:t>
      </w:r>
    </w:p>
    <w:p w14:paraId="463CB683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>[15] Sinha, M., et al. (2024). Real-Time Verification Architectures for Web-Based Micro-Payments. IEEE Software, 41(3), 64–72.</w:t>
      </w:r>
    </w:p>
    <w:p w14:paraId="22329C94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>[16] Anand, V., et al. (2024). Macro-Level Predictive Analytics for Federated Self-Help Group Networks. Information Systems Frontiers, 26(4), 1455–1472.</w:t>
      </w:r>
    </w:p>
    <w:p w14:paraId="0AAD9D34" w14:textId="77777777" w:rsidR="004E2F6E" w:rsidRDefault="00000000">
      <w:pPr>
        <w:spacing w:after="80"/>
      </w:pPr>
      <w:r>
        <w:rPr>
          <w:rFonts w:ascii="Arial" w:hAnsi="Arial"/>
          <w:color w:val="0F172A"/>
          <w:sz w:val="19"/>
        </w:rPr>
        <w:t>[17] Palander, T. (2024). Digitalization of Federated Supply Chains and Stakeholder Dashboards. Current Operations Research Reports, 5(1), 33–46.</w:t>
      </w:r>
    </w:p>
    <w:sectPr w:rsidR="004E2F6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520031">
    <w:abstractNumId w:val="8"/>
  </w:num>
  <w:num w:numId="2" w16cid:durableId="1452868817">
    <w:abstractNumId w:val="6"/>
  </w:num>
  <w:num w:numId="3" w16cid:durableId="927999975">
    <w:abstractNumId w:val="5"/>
  </w:num>
  <w:num w:numId="4" w16cid:durableId="114254599">
    <w:abstractNumId w:val="4"/>
  </w:num>
  <w:num w:numId="5" w16cid:durableId="2006131922">
    <w:abstractNumId w:val="7"/>
  </w:num>
  <w:num w:numId="6" w16cid:durableId="767239657">
    <w:abstractNumId w:val="3"/>
  </w:num>
  <w:num w:numId="7" w16cid:durableId="1238322630">
    <w:abstractNumId w:val="2"/>
  </w:num>
  <w:num w:numId="8" w16cid:durableId="1231967170">
    <w:abstractNumId w:val="1"/>
  </w:num>
  <w:num w:numId="9" w16cid:durableId="5034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654"/>
    <w:rsid w:val="00034616"/>
    <w:rsid w:val="0006063C"/>
    <w:rsid w:val="001467ED"/>
    <w:rsid w:val="0015074B"/>
    <w:rsid w:val="0029639D"/>
    <w:rsid w:val="00326F90"/>
    <w:rsid w:val="004E2F6E"/>
    <w:rsid w:val="005833AB"/>
    <w:rsid w:val="009B61CF"/>
    <w:rsid w:val="009C15B3"/>
    <w:rsid w:val="009D38A5"/>
    <w:rsid w:val="00AA1D8D"/>
    <w:rsid w:val="00B47730"/>
    <w:rsid w:val="00CB0664"/>
    <w:rsid w:val="00EF2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BC1E9"/>
  <w14:defaultImageDpi w14:val="300"/>
  <w15:docId w15:val="{69C5A154-F3E4-43E5-9D43-F518DD3F8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2020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Rohith R Nair</cp:lastModifiedBy>
  <cp:revision>5</cp:revision>
  <dcterms:created xsi:type="dcterms:W3CDTF">2013-12-23T23:15:00Z</dcterms:created>
  <dcterms:modified xsi:type="dcterms:W3CDTF">2026-08-31T10:31:00Z</dcterms:modified>
  <cp:category/>
</cp:coreProperties>
</file>