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8"/>
        </w:rPr>
        <w:t>PhishShield AI: An Intelligent Multi-Layer</w:t>
        <w:br/>
        <w:t>Phishing URL Detection System</w:t>
      </w:r>
    </w:p>
    <w:p>
      <w:pPr>
        <w:spacing w:before="80" w:after="40"/>
        <w:jc w:val="center"/>
      </w:pPr>
      <w:r>
        <w:rPr>
          <w:rFonts w:ascii="Times New Roman" w:hAnsi="Times New Roman"/>
          <w:b/>
          <w:sz w:val="22"/>
        </w:rPr>
        <w:t>Rohith V Kulkarni,  Akshay Kashyap M,  Arya H</w:t>
      </w:r>
    </w:p>
    <w:p>
      <w:pPr>
        <w:spacing w:before="0" w:after="0"/>
        <w:jc w:val="center"/>
      </w:pPr>
      <w:r>
        <w:rPr>
          <w:rFonts w:ascii="Times New Roman" w:hAnsi="Times New Roman"/>
          <w:b w:val="0"/>
          <w:sz w:val="20"/>
        </w:rPr>
        <w:t>Dept. of Artificial Intelligence and Data Science</w:t>
      </w:r>
    </w:p>
    <w:p>
      <w:pPr>
        <w:spacing w:before="0" w:after="0"/>
        <w:jc w:val="center"/>
      </w:pPr>
      <w:r>
        <w:rPr>
          <w:rFonts w:ascii="Times New Roman" w:hAnsi="Times New Roman"/>
          <w:b w:val="0"/>
          <w:sz w:val="20"/>
        </w:rPr>
        <w:t>Reva University, Bangalore, India</w:t>
      </w:r>
    </w:p>
    <w:p/>
    <w:p>
      <w:pPr>
        <w:sectPr>
          <w:pgSz w:w="12240" w:h="15840"/>
          <w:pgMar w:top="1080" w:right="900" w:bottom="1440" w:left="900" w:header="720" w:footer="720" w:gutter="0"/>
          <w:cols w:space="720"/>
          <w:docGrid w:linePitch="360"/>
        </w:sectPr>
      </w:pPr>
    </w:p>
    <w:p>
      <w:pPr>
        <w:spacing w:before="0" w:after="80" w:line="240" w:lineRule="auto"/>
        <w:jc w:val="both"/>
      </w:pPr>
      <w:r>
        <w:rPr>
          <w:rFonts w:ascii="Times New Roman" w:hAnsi="Times New Roman"/>
          <w:b/>
          <w:i/>
          <w:sz w:val="20"/>
        </w:rPr>
        <w:t>Abstract</w:t>
      </w:r>
      <w:r>
        <w:rPr>
          <w:rFonts w:ascii="Times New Roman" w:hAnsi="Times New Roman"/>
          <w:sz w:val="20"/>
        </w:rPr>
        <w:t>—Phishing attacks continue to pose a significant threat to cybersecurity, with attackers employing increasingly sophisticated techniques to deceive users into revealing sensitive information. This paper presents PhishShield AI, an intelligent multi-layer phishing URL detection system that leverages ensemble machine learning techniques combined with comprehensive URL feature engineering. The system extracts over 30 features from URLs including lexical, structural, statistical, and security-based attributes, and employs a multi-model evaluation pipeline using Random Forest, Gradient Boosting, XGBoost, and LightGBM classifiers to achieve optimal detection accuracy. The ensemble best-performing model is automatically selected based on F1-score and deployed in a real-time detection pipeline integrated with a browser extension and web dashboard. Experimental results demonstrate that the proposed system achieves high detection accuracy with low false-positive rates, providing an effective defense mechanism against phishing threats. The system architecture supports real-time URL scanning, user feedback collection, and continuous model improvement through an integrated full-stack platform.</w:t>
      </w:r>
    </w:p>
    <w:p>
      <w:pPr>
        <w:spacing w:before="40" w:after="120"/>
        <w:jc w:val="both"/>
      </w:pPr>
      <w:r>
        <w:rPr>
          <w:rFonts w:ascii="Times New Roman" w:hAnsi="Times New Roman"/>
          <w:b/>
          <w:i/>
          <w:sz w:val="20"/>
        </w:rPr>
        <w:t>Index Terms</w:t>
      </w:r>
      <w:r>
        <w:rPr>
          <w:rFonts w:ascii="Times New Roman" w:hAnsi="Times New Roman"/>
          <w:sz w:val="20"/>
        </w:rPr>
        <w:t>—phishing detection, machine learning, URL analysis, ensemble learning, cybersecurity, feature engineering, web security</w:t>
      </w:r>
    </w:p>
    <w:p>
      <w:pPr>
        <w:spacing w:before="120" w:after="60"/>
        <w:jc w:val="center"/>
      </w:pPr>
      <w:r>
        <w:rPr>
          <w:rFonts w:ascii="Times New Roman" w:hAnsi="Times New Roman"/>
          <w:b w:val="0"/>
          <w:sz w:val="20"/>
        </w:rPr>
        <w:t>I. INTRODUCTION</w:t>
      </w:r>
    </w:p>
    <w:p>
      <w:pPr>
        <w:spacing w:before="0" w:after="0" w:line="240" w:lineRule="auto"/>
        <w:ind w:firstLine="259"/>
        <w:jc w:val="both"/>
      </w:pPr>
      <w:r>
        <w:rPr>
          <w:rFonts w:ascii="Times New Roman" w:hAnsi="Times New Roman"/>
          <w:sz w:val="20"/>
        </w:rPr>
        <w:t>Phishing remains one of the most prevalent and dangerous forms of cyber attacks in the digital landscape. According to the Anti-Phishing Working Group (APWG), phishing attacks reached an all-time high in recent years with millions of unique phishing URLs detected globally. These attacks exploit human psychology by impersonating trusted entities through deceptive websites, leading to credential theft, financial fraud, and data breaches.</w:t>
      </w:r>
    </w:p>
    <w:p>
      <w:pPr>
        <w:spacing w:before="0" w:after="0" w:line="240" w:lineRule="auto"/>
        <w:ind w:firstLine="259"/>
        <w:jc w:val="both"/>
      </w:pPr>
      <w:r>
        <w:rPr>
          <w:rFonts w:ascii="Times New Roman" w:hAnsi="Times New Roman"/>
          <w:sz w:val="20"/>
        </w:rPr>
        <w:t>This paper presents PhishShield AI, a comprehensive phishing detection system that addresses these limitations through three key contributions: (1) a comprehensive feature engineering pipeline that extracts over 30 URL-based features across six distinct categories; (2) a multi-model ensemble evaluation framework that automatically selects the best-performing classifier; and (3) a full-stack deployment architecture featuring a browser extension, web dashboard, and sandbox analysis environment for real-time phishing detection.</w:t>
      </w:r>
    </w:p>
    <w:p>
      <w:pPr>
        <w:spacing w:before="0" w:after="0" w:line="240" w:lineRule="auto"/>
        <w:ind w:firstLine="259"/>
        <w:jc w:val="both"/>
      </w:pPr>
      <w:r>
        <w:rPr>
          <w:rFonts w:ascii="Times New Roman" w:hAnsi="Times New Roman"/>
          <w:sz w:val="20"/>
        </w:rPr>
        <w:t>The socio-economic impact of phishing has reached unprecedented levels, with cybercriminals leveraging generative AI to mass-produce highly convincing deceptive content at scale. Enterprises face not only direct financial losses but also severe reputational damage, regulatory fines for data breaches, and the hidden costs of incident response. A successful spear-phishing campaign against key employees can completely bypass sophisticated network perimeter defenses, providing attackers with valid credentials that grant unfettered access to sensitive internal corporate systems, proprietary source code, and customer databases.</w:t>
      </w:r>
    </w:p>
    <w:p>
      <w:pPr>
        <w:spacing w:before="0" w:after="0" w:line="240" w:lineRule="auto"/>
        <w:ind w:firstLine="259"/>
        <w:jc w:val="both"/>
      </w:pPr>
      <w:r>
        <w:rPr>
          <w:rFonts w:ascii="Times New Roman" w:hAnsi="Times New Roman"/>
          <w:sz w:val="20"/>
        </w:rPr>
        <w:t>Furthermore, the advent of generative AI technologies has significantly lowered the barrier to entry. Attackers can now programmatically generate thousands of evasive domain variations and polymorphic URL structures. This asymmetry requires defensive systems to be equally dynamic, leveraging advanced models and continuous feature engineering to counter automated attack pipelines effectively in real-time.</w:t>
      </w:r>
    </w:p>
    <w:p>
      <w:pPr>
        <w:spacing w:before="120" w:after="60"/>
        <w:jc w:val="center"/>
      </w:pPr>
      <w:r>
        <w:rPr>
          <w:rFonts w:ascii="Times New Roman" w:hAnsi="Times New Roman"/>
          <w:b w:val="0"/>
          <w:sz w:val="20"/>
        </w:rPr>
        <w:t>II. LITERATURE SURVEY</w:t>
      </w:r>
    </w:p>
    <w:p>
      <w:pPr>
        <w:spacing w:before="0" w:after="0" w:line="240" w:lineRule="auto"/>
        <w:ind w:firstLine="259"/>
        <w:jc w:val="both"/>
      </w:pPr>
      <w:r>
        <w:rPr>
          <w:rFonts w:ascii="Times New Roman" w:hAnsi="Times New Roman"/>
          <w:sz w:val="20"/>
        </w:rPr>
        <w:t>Phishing detection techniques can be broadly categorized into four major approaches: list-based methods, visual similarity-based methods, content-based analysis, and machine learning-based classification. Each approach has its own strengths and limitations, and recent research has focused on combining these approaches for improved performance.</w:t>
      </w:r>
    </w:p>
    <w:p>
      <w:pPr>
        <w:spacing w:before="0" w:after="0" w:line="240" w:lineRule="auto"/>
        <w:ind w:firstLine="259"/>
        <w:jc w:val="both"/>
      </w:pPr>
      <w:r>
        <w:rPr>
          <w:rFonts w:ascii="Times New Roman" w:hAnsi="Times New Roman"/>
          <w:sz w:val="20"/>
        </w:rPr>
        <w:t>Jain and Gupta [1] proposed a machine learning-based phishing detection system using URL features and achieved 95.2% accuracy with Random Forest. However, their feature set was limited to basic URL characteristics. Sahingoz et al. [2] introduced an NLP-based approach using word embeddings on URL tokens, achieving 97.3% accuracy but with higher computational cost. Rao and Pais [3] demonstrated the effectiveness of combining URL features with page content analysis, reporting 96.6% accuracy.</w:t>
      </w:r>
    </w:p>
    <w:p>
      <w:pPr>
        <w:spacing w:before="0" w:after="0" w:line="240" w:lineRule="auto"/>
        <w:ind w:firstLine="259"/>
        <w:jc w:val="both"/>
      </w:pPr>
      <w:r>
        <w:rPr>
          <w:rFonts w:ascii="Times New Roman" w:hAnsi="Times New Roman"/>
          <w:sz w:val="20"/>
        </w:rPr>
        <w:t>More recently, deep learning approaches have shown promising results. Le et al. [4] applied convolutional neural networks on raw URL character sequences and achieved 98.1% accuracy. Bahnsen et al. [5] used LSTM networks for URL-based detection, reporting 98.7% accuracy. However, these deep learning methods require significant computational resources, specialized GPU hardware for inference, and exceptionally large training datasets that are often unavailable to independent researchers.</w:t>
      </w:r>
    </w:p>
    <w:p>
      <w:pPr>
        <w:spacing w:before="0" w:after="0" w:line="240" w:lineRule="auto"/>
        <w:ind w:firstLine="259"/>
        <w:jc w:val="both"/>
      </w:pPr>
      <w:r>
        <w:rPr>
          <w:rFonts w:ascii="Times New Roman" w:hAnsi="Times New Roman"/>
          <w:sz w:val="20"/>
        </w:rPr>
        <w:t>Furthermore, the opacity of deep neural networks introduces a critical black-box problem. In cybersecurity, explainability is often as important as raw accuracy. Security Operations Center (SOC) analysts require contextual evidence to understand why a URL was blocked in order to manage false positive escalations effectively. Tree-based ensemble methods, while slightly less adept at automatic sequence feature extraction than RNNs, offer native feature importance metrics and decision path tracing, making them significantly more suitable for enterprise deployment.</w:t>
      </w:r>
    </w:p>
    <w:p>
      <w:pPr>
        <w:spacing w:before="0" w:after="0" w:line="240" w:lineRule="auto"/>
        <w:ind w:firstLine="259"/>
        <w:jc w:val="both"/>
      </w:pPr>
      <w:r>
        <w:rPr>
          <w:rFonts w:ascii="Times New Roman" w:hAnsi="Times New Roman"/>
          <w:sz w:val="20"/>
        </w:rPr>
        <w:t>Wei et al. [6] combined URL lexical features with DNS metadata using XGBoost, achieving 97.1% accuracy with improved robustness against adversarial URL manipulation. Tang and Mahmoud [7] conducted a comprehensive survey of ML-based phishing solutions, highlighting that ensemble methods consistently outperform individual classifiers across diverse datasets.</w:t>
      </w:r>
    </w:p>
    <w:p>
      <w:pPr>
        <w:spacing w:before="0" w:after="0" w:line="240" w:lineRule="auto"/>
        <w:ind w:firstLine="259"/>
        <w:jc w:val="both"/>
      </w:pPr>
      <w:r>
        <w:rPr>
          <w:rFonts w:ascii="Times New Roman" w:hAnsi="Times New Roman"/>
          <w:sz w:val="20"/>
        </w:rPr>
        <w:t>Despite these advances, most existing systems suffer from one or more limitations: reliance on single classifiers, narrow feature sets, lack of real-time deployment capability, or absence of explainability in predictions. Table I summarizes the key related works and their characteristics compared to our proposed PhishShield AI system.</w:t>
      </w:r>
    </w:p>
    <w:p/>
    <w:p>
      <w:pPr>
        <w:spacing w:before="80" w:after="40"/>
        <w:jc w:val="center"/>
      </w:pPr>
      <w:r>
        <w:rPr>
          <w:rFonts w:ascii="Times New Roman" w:hAnsi="Times New Roman"/>
          <w:b/>
          <w:sz w:val="16"/>
        </w:rPr>
        <w:t>TABLE I.  COMPARISON OF PHISHING DETECTION APPROACHES</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sz w:val="16"/>
              </w:rPr>
              <w:t>Paper / Year</w:t>
            </w:r>
          </w:p>
        </w:tc>
        <w:tc>
          <w:tcPr>
            <w:tcW w:type="dxa" w:w="1740"/>
          </w:tcPr>
          <w:p>
            <w:pPr>
              <w:jc w:val="center"/>
            </w:pPr>
            <w:r>
              <w:rPr>
                <w:rFonts w:ascii="Times New Roman" w:hAnsi="Times New Roman"/>
                <w:b/>
                <w:sz w:val="16"/>
              </w:rPr>
              <w:t>Journal</w:t>
            </w:r>
          </w:p>
        </w:tc>
        <w:tc>
          <w:tcPr>
            <w:tcW w:type="dxa" w:w="1740"/>
          </w:tcPr>
          <w:p>
            <w:pPr>
              <w:jc w:val="center"/>
            </w:pPr>
            <w:r>
              <w:rPr>
                <w:rFonts w:ascii="Times New Roman" w:hAnsi="Times New Roman"/>
                <w:b/>
                <w:sz w:val="16"/>
              </w:rPr>
              <w:t>Dataset</w:t>
              <w:br/>
              <w:t>Sample</w:t>
            </w:r>
          </w:p>
        </w:tc>
        <w:tc>
          <w:tcPr>
            <w:tcW w:type="dxa" w:w="1740"/>
          </w:tcPr>
          <w:p>
            <w:pPr>
              <w:jc w:val="center"/>
            </w:pPr>
            <w:r>
              <w:rPr>
                <w:rFonts w:ascii="Times New Roman" w:hAnsi="Times New Roman"/>
                <w:b/>
                <w:sz w:val="16"/>
              </w:rPr>
              <w:t>Features</w:t>
              <w:br/>
              <w:t>Used</w:t>
            </w:r>
          </w:p>
        </w:tc>
        <w:tc>
          <w:tcPr>
            <w:tcW w:type="dxa" w:w="1740"/>
          </w:tcPr>
          <w:p>
            <w:pPr>
              <w:jc w:val="center"/>
            </w:pPr>
            <w:r>
              <w:rPr>
                <w:rFonts w:ascii="Times New Roman" w:hAnsi="Times New Roman"/>
                <w:b/>
                <w:sz w:val="16"/>
              </w:rPr>
              <w:t>Algorithm</w:t>
            </w:r>
          </w:p>
        </w:tc>
        <w:tc>
          <w:tcPr>
            <w:tcW w:type="dxa" w:w="1740"/>
          </w:tcPr>
          <w:p>
            <w:pPr>
              <w:jc w:val="center"/>
            </w:pPr>
            <w:r>
              <w:rPr>
                <w:rFonts w:ascii="Times New Roman" w:hAnsi="Times New Roman"/>
                <w:b/>
                <w:sz w:val="16"/>
              </w:rPr>
              <w:t>Results</w:t>
              <w:br/>
              <w:t>Achieved</w:t>
            </w:r>
          </w:p>
        </w:tc>
      </w:tr>
      <w:tr>
        <w:tc>
          <w:tcPr>
            <w:tcW w:type="dxa" w:w="1740"/>
          </w:tcPr>
          <w:p>
            <w:pPr>
              <w:jc w:val="center"/>
            </w:pPr>
            <w:r>
              <w:rPr>
                <w:rFonts w:ascii="Times New Roman" w:hAnsi="Times New Roman"/>
                <w:sz w:val="16"/>
              </w:rPr>
              <w:t>Jain &amp; Gupta 2018</w:t>
            </w:r>
          </w:p>
        </w:tc>
        <w:tc>
          <w:tcPr>
            <w:tcW w:type="dxa" w:w="1740"/>
          </w:tcPr>
          <w:p>
            <w:pPr>
              <w:jc w:val="center"/>
            </w:pPr>
            <w:r>
              <w:rPr>
                <w:rFonts w:ascii="Times New Roman" w:hAnsi="Times New Roman"/>
                <w:sz w:val="16"/>
              </w:rPr>
              <w:t>JAIHC</w:t>
            </w:r>
          </w:p>
        </w:tc>
        <w:tc>
          <w:tcPr>
            <w:tcW w:type="dxa" w:w="1740"/>
          </w:tcPr>
          <w:p>
            <w:pPr>
              <w:jc w:val="center"/>
            </w:pPr>
            <w:r>
              <w:rPr>
                <w:rFonts w:ascii="Times New Roman" w:hAnsi="Times New Roman"/>
                <w:sz w:val="16"/>
              </w:rPr>
              <w:t>2141</w:t>
            </w:r>
          </w:p>
        </w:tc>
        <w:tc>
          <w:tcPr>
            <w:tcW w:type="dxa" w:w="1740"/>
          </w:tcPr>
          <w:p>
            <w:pPr>
              <w:jc w:val="center"/>
            </w:pPr>
            <w:r>
              <w:rPr>
                <w:rFonts w:ascii="Times New Roman" w:hAnsi="Times New Roman"/>
                <w:sz w:val="16"/>
              </w:rPr>
              <w:t>16</w:t>
            </w:r>
          </w:p>
        </w:tc>
        <w:tc>
          <w:tcPr>
            <w:tcW w:type="dxa" w:w="1740"/>
          </w:tcPr>
          <w:p>
            <w:pPr>
              <w:jc w:val="center"/>
            </w:pPr>
            <w:r>
              <w:rPr>
                <w:rFonts w:ascii="Times New Roman" w:hAnsi="Times New Roman"/>
                <w:sz w:val="16"/>
              </w:rPr>
              <w:t>Random Forest</w:t>
            </w:r>
          </w:p>
        </w:tc>
        <w:tc>
          <w:tcPr>
            <w:tcW w:type="dxa" w:w="1740"/>
          </w:tcPr>
          <w:p>
            <w:pPr>
              <w:jc w:val="center"/>
            </w:pPr>
            <w:r>
              <w:rPr>
                <w:rFonts w:ascii="Times New Roman" w:hAnsi="Times New Roman"/>
                <w:sz w:val="16"/>
              </w:rPr>
              <w:t>95.2%</w:t>
              <w:br/>
              <w:t>Limited features</w:t>
            </w:r>
          </w:p>
        </w:tc>
      </w:tr>
      <w:tr>
        <w:tc>
          <w:tcPr>
            <w:tcW w:type="dxa" w:w="1740"/>
          </w:tcPr>
          <w:p>
            <w:pPr>
              <w:jc w:val="center"/>
            </w:pPr>
            <w:r>
              <w:rPr>
                <w:rFonts w:ascii="Times New Roman" w:hAnsi="Times New Roman"/>
                <w:sz w:val="16"/>
              </w:rPr>
              <w:t>Sahingoz et al. 2019</w:t>
            </w:r>
          </w:p>
        </w:tc>
        <w:tc>
          <w:tcPr>
            <w:tcW w:type="dxa" w:w="1740"/>
          </w:tcPr>
          <w:p>
            <w:pPr>
              <w:jc w:val="center"/>
            </w:pPr>
            <w:r>
              <w:rPr>
                <w:rFonts w:ascii="Times New Roman" w:hAnsi="Times New Roman"/>
                <w:sz w:val="16"/>
              </w:rPr>
              <w:t>ESWA</w:t>
            </w:r>
          </w:p>
        </w:tc>
        <w:tc>
          <w:tcPr>
            <w:tcW w:type="dxa" w:w="1740"/>
          </w:tcPr>
          <w:p>
            <w:pPr>
              <w:jc w:val="center"/>
            </w:pPr>
            <w:r>
              <w:rPr>
                <w:rFonts w:ascii="Times New Roman" w:hAnsi="Times New Roman"/>
                <w:sz w:val="16"/>
              </w:rPr>
              <w:t>73575</w:t>
            </w:r>
          </w:p>
        </w:tc>
        <w:tc>
          <w:tcPr>
            <w:tcW w:type="dxa" w:w="1740"/>
          </w:tcPr>
          <w:p>
            <w:pPr>
              <w:jc w:val="center"/>
            </w:pPr>
            <w:r>
              <w:rPr>
                <w:rFonts w:ascii="Times New Roman" w:hAnsi="Times New Roman"/>
                <w:sz w:val="16"/>
              </w:rPr>
              <w:t>NLP</w:t>
            </w:r>
          </w:p>
        </w:tc>
        <w:tc>
          <w:tcPr>
            <w:tcW w:type="dxa" w:w="1740"/>
          </w:tcPr>
          <w:p>
            <w:pPr>
              <w:jc w:val="center"/>
            </w:pPr>
            <w:r>
              <w:rPr>
                <w:rFonts w:ascii="Times New Roman" w:hAnsi="Times New Roman"/>
                <w:sz w:val="16"/>
              </w:rPr>
              <w:t>NLP+RF</w:t>
            </w:r>
          </w:p>
        </w:tc>
        <w:tc>
          <w:tcPr>
            <w:tcW w:type="dxa" w:w="1740"/>
          </w:tcPr>
          <w:p>
            <w:pPr>
              <w:jc w:val="center"/>
            </w:pPr>
            <w:r>
              <w:rPr>
                <w:rFonts w:ascii="Times New Roman" w:hAnsi="Times New Roman"/>
                <w:sz w:val="16"/>
              </w:rPr>
              <w:t>97.3%</w:t>
              <w:br/>
              <w:t>High compute</w:t>
            </w:r>
          </w:p>
        </w:tc>
      </w:tr>
      <w:tr>
        <w:tc>
          <w:tcPr>
            <w:tcW w:type="dxa" w:w="1740"/>
          </w:tcPr>
          <w:p>
            <w:pPr>
              <w:jc w:val="center"/>
            </w:pPr>
            <w:r>
              <w:rPr>
                <w:rFonts w:ascii="Times New Roman" w:hAnsi="Times New Roman"/>
                <w:sz w:val="16"/>
              </w:rPr>
              <w:t>Rao &amp; Pais 2019</w:t>
            </w:r>
          </w:p>
        </w:tc>
        <w:tc>
          <w:tcPr>
            <w:tcW w:type="dxa" w:w="1740"/>
          </w:tcPr>
          <w:p>
            <w:pPr>
              <w:jc w:val="center"/>
            </w:pPr>
            <w:r>
              <w:rPr>
                <w:rFonts w:ascii="Times New Roman" w:hAnsi="Times New Roman"/>
                <w:sz w:val="16"/>
              </w:rPr>
              <w:t>NCA</w:t>
            </w:r>
          </w:p>
        </w:tc>
        <w:tc>
          <w:tcPr>
            <w:tcW w:type="dxa" w:w="1740"/>
          </w:tcPr>
          <w:p>
            <w:pPr>
              <w:jc w:val="center"/>
            </w:pPr>
            <w:r>
              <w:rPr>
                <w:rFonts w:ascii="Times New Roman" w:hAnsi="Times New Roman"/>
                <w:sz w:val="16"/>
              </w:rPr>
              <w:t>5000</w:t>
            </w:r>
          </w:p>
        </w:tc>
        <w:tc>
          <w:tcPr>
            <w:tcW w:type="dxa" w:w="1740"/>
          </w:tcPr>
          <w:p>
            <w:pPr>
              <w:jc w:val="center"/>
            </w:pPr>
            <w:r>
              <w:rPr>
                <w:rFonts w:ascii="Times New Roman" w:hAnsi="Times New Roman"/>
                <w:sz w:val="16"/>
              </w:rPr>
              <w:t>30</w:t>
            </w:r>
          </w:p>
        </w:tc>
        <w:tc>
          <w:tcPr>
            <w:tcW w:type="dxa" w:w="1740"/>
          </w:tcPr>
          <w:p>
            <w:pPr>
              <w:jc w:val="center"/>
            </w:pPr>
            <w:r>
              <w:rPr>
                <w:rFonts w:ascii="Times New Roman" w:hAnsi="Times New Roman"/>
                <w:sz w:val="16"/>
              </w:rPr>
              <w:t>Hybrid ML</w:t>
            </w:r>
          </w:p>
        </w:tc>
        <w:tc>
          <w:tcPr>
            <w:tcW w:type="dxa" w:w="1740"/>
          </w:tcPr>
          <w:p>
            <w:pPr>
              <w:jc w:val="center"/>
            </w:pPr>
            <w:r>
              <w:rPr>
                <w:rFonts w:ascii="Times New Roman" w:hAnsi="Times New Roman"/>
                <w:sz w:val="16"/>
              </w:rPr>
              <w:t>96.6%</w:t>
              <w:br/>
              <w:t>Needs content</w:t>
            </w:r>
          </w:p>
        </w:tc>
      </w:tr>
      <w:tr>
        <w:tc>
          <w:tcPr>
            <w:tcW w:type="dxa" w:w="1740"/>
          </w:tcPr>
          <w:p>
            <w:pPr>
              <w:jc w:val="center"/>
            </w:pPr>
            <w:r>
              <w:rPr>
                <w:rFonts w:ascii="Times New Roman" w:hAnsi="Times New Roman"/>
                <w:sz w:val="16"/>
              </w:rPr>
              <w:t>Le et al. 2020</w:t>
            </w:r>
          </w:p>
        </w:tc>
        <w:tc>
          <w:tcPr>
            <w:tcW w:type="dxa" w:w="1740"/>
          </w:tcPr>
          <w:p>
            <w:pPr>
              <w:jc w:val="center"/>
            </w:pPr>
            <w:r>
              <w:rPr>
                <w:rFonts w:ascii="Times New Roman" w:hAnsi="Times New Roman"/>
                <w:sz w:val="16"/>
              </w:rPr>
              <w:t>arXiv</w:t>
            </w:r>
          </w:p>
        </w:tc>
        <w:tc>
          <w:tcPr>
            <w:tcW w:type="dxa" w:w="1740"/>
          </w:tcPr>
          <w:p>
            <w:pPr>
              <w:jc w:val="center"/>
            </w:pPr>
            <w:r>
              <w:rPr>
                <w:rFonts w:ascii="Times New Roman" w:hAnsi="Times New Roman"/>
                <w:sz w:val="16"/>
              </w:rPr>
              <w:t>2M</w:t>
            </w:r>
          </w:p>
        </w:tc>
        <w:tc>
          <w:tcPr>
            <w:tcW w:type="dxa" w:w="1740"/>
          </w:tcPr>
          <w:p>
            <w:pPr>
              <w:jc w:val="center"/>
            </w:pPr>
            <w:r>
              <w:rPr>
                <w:rFonts w:ascii="Times New Roman" w:hAnsi="Times New Roman"/>
                <w:sz w:val="16"/>
              </w:rPr>
              <w:t>Raw</w:t>
            </w:r>
          </w:p>
        </w:tc>
        <w:tc>
          <w:tcPr>
            <w:tcW w:type="dxa" w:w="1740"/>
          </w:tcPr>
          <w:p>
            <w:pPr>
              <w:jc w:val="center"/>
            </w:pPr>
            <w:r>
              <w:rPr>
                <w:rFonts w:ascii="Times New Roman" w:hAnsi="Times New Roman"/>
                <w:sz w:val="16"/>
              </w:rPr>
              <w:t>CNN</w:t>
            </w:r>
          </w:p>
        </w:tc>
        <w:tc>
          <w:tcPr>
            <w:tcW w:type="dxa" w:w="1740"/>
          </w:tcPr>
          <w:p>
            <w:pPr>
              <w:jc w:val="center"/>
            </w:pPr>
            <w:r>
              <w:rPr>
                <w:rFonts w:ascii="Times New Roman" w:hAnsi="Times New Roman"/>
                <w:sz w:val="16"/>
              </w:rPr>
              <w:t>98.1%</w:t>
              <w:br/>
              <w:t>Large data needed</w:t>
            </w:r>
          </w:p>
        </w:tc>
      </w:tr>
      <w:tr>
        <w:tc>
          <w:tcPr>
            <w:tcW w:type="dxa" w:w="1740"/>
          </w:tcPr>
          <w:p>
            <w:pPr>
              <w:jc w:val="center"/>
            </w:pPr>
            <w:r>
              <w:rPr>
                <w:rFonts w:ascii="Times New Roman" w:hAnsi="Times New Roman"/>
                <w:sz w:val="16"/>
              </w:rPr>
              <w:t>Bahnsen et al. 2020</w:t>
            </w:r>
          </w:p>
        </w:tc>
        <w:tc>
          <w:tcPr>
            <w:tcW w:type="dxa" w:w="1740"/>
          </w:tcPr>
          <w:p>
            <w:pPr>
              <w:jc w:val="center"/>
            </w:pPr>
            <w:r>
              <w:rPr>
                <w:rFonts w:ascii="Times New Roman" w:hAnsi="Times New Roman"/>
                <w:sz w:val="16"/>
              </w:rPr>
              <w:t>IEEE</w:t>
            </w:r>
          </w:p>
        </w:tc>
        <w:tc>
          <w:tcPr>
            <w:tcW w:type="dxa" w:w="1740"/>
          </w:tcPr>
          <w:p>
            <w:pPr>
              <w:jc w:val="center"/>
            </w:pPr>
            <w:r>
              <w:rPr>
                <w:rFonts w:ascii="Times New Roman" w:hAnsi="Times New Roman"/>
                <w:sz w:val="16"/>
              </w:rPr>
              <w:t>2M</w:t>
            </w:r>
          </w:p>
        </w:tc>
        <w:tc>
          <w:tcPr>
            <w:tcW w:type="dxa" w:w="1740"/>
          </w:tcPr>
          <w:p>
            <w:pPr>
              <w:jc w:val="center"/>
            </w:pPr>
            <w:r>
              <w:rPr>
                <w:rFonts w:ascii="Times New Roman" w:hAnsi="Times New Roman"/>
                <w:sz w:val="16"/>
              </w:rPr>
              <w:t>Raw</w:t>
            </w:r>
          </w:p>
        </w:tc>
        <w:tc>
          <w:tcPr>
            <w:tcW w:type="dxa" w:w="1740"/>
          </w:tcPr>
          <w:p>
            <w:pPr>
              <w:jc w:val="center"/>
            </w:pPr>
            <w:r>
              <w:rPr>
                <w:rFonts w:ascii="Times New Roman" w:hAnsi="Times New Roman"/>
                <w:sz w:val="16"/>
              </w:rPr>
              <w:t>LSTM</w:t>
            </w:r>
          </w:p>
        </w:tc>
        <w:tc>
          <w:tcPr>
            <w:tcW w:type="dxa" w:w="1740"/>
          </w:tcPr>
          <w:p>
            <w:pPr>
              <w:jc w:val="center"/>
            </w:pPr>
            <w:r>
              <w:rPr>
                <w:rFonts w:ascii="Times New Roman" w:hAnsi="Times New Roman"/>
                <w:sz w:val="16"/>
              </w:rPr>
              <w:t>98.7%</w:t>
              <w:br/>
              <w:t>High resource</w:t>
            </w:r>
          </w:p>
        </w:tc>
      </w:tr>
      <w:tr>
        <w:tc>
          <w:tcPr>
            <w:tcW w:type="dxa" w:w="1740"/>
          </w:tcPr>
          <w:p>
            <w:pPr>
              <w:jc w:val="center"/>
            </w:pPr>
            <w:r>
              <w:rPr>
                <w:rFonts w:ascii="Times New Roman" w:hAnsi="Times New Roman"/>
                <w:sz w:val="16"/>
              </w:rPr>
              <w:t>Wei et al. 2021</w:t>
            </w:r>
          </w:p>
        </w:tc>
        <w:tc>
          <w:tcPr>
            <w:tcW w:type="dxa" w:w="1740"/>
          </w:tcPr>
          <w:p>
            <w:pPr>
              <w:jc w:val="center"/>
            </w:pPr>
            <w:r>
              <w:rPr>
                <w:rFonts w:ascii="Times New Roman" w:hAnsi="Times New Roman"/>
                <w:sz w:val="16"/>
              </w:rPr>
              <w:t>CN</w:t>
            </w:r>
          </w:p>
        </w:tc>
        <w:tc>
          <w:tcPr>
            <w:tcW w:type="dxa" w:w="1740"/>
          </w:tcPr>
          <w:p>
            <w:pPr>
              <w:jc w:val="center"/>
            </w:pPr>
            <w:r>
              <w:rPr>
                <w:rFonts w:ascii="Times New Roman" w:hAnsi="Times New Roman"/>
                <w:sz w:val="16"/>
              </w:rPr>
              <w:t>50000</w:t>
            </w:r>
          </w:p>
        </w:tc>
        <w:tc>
          <w:tcPr>
            <w:tcW w:type="dxa" w:w="1740"/>
          </w:tcPr>
          <w:p>
            <w:pPr>
              <w:jc w:val="center"/>
            </w:pPr>
            <w:r>
              <w:rPr>
                <w:rFonts w:ascii="Times New Roman" w:hAnsi="Times New Roman"/>
                <w:sz w:val="16"/>
              </w:rPr>
              <w:t>32</w:t>
            </w:r>
          </w:p>
        </w:tc>
        <w:tc>
          <w:tcPr>
            <w:tcW w:type="dxa" w:w="1740"/>
          </w:tcPr>
          <w:p>
            <w:pPr>
              <w:jc w:val="center"/>
            </w:pPr>
            <w:r>
              <w:rPr>
                <w:rFonts w:ascii="Times New Roman" w:hAnsi="Times New Roman"/>
                <w:sz w:val="16"/>
              </w:rPr>
              <w:t>XGBoost</w:t>
            </w:r>
          </w:p>
        </w:tc>
        <w:tc>
          <w:tcPr>
            <w:tcW w:type="dxa" w:w="1740"/>
          </w:tcPr>
          <w:p>
            <w:pPr>
              <w:jc w:val="center"/>
            </w:pPr>
            <w:r>
              <w:rPr>
                <w:rFonts w:ascii="Times New Roman" w:hAnsi="Times New Roman"/>
                <w:sz w:val="16"/>
              </w:rPr>
              <w:t>97.1%</w:t>
              <w:br/>
              <w:t>No real-time</w:t>
            </w:r>
          </w:p>
        </w:tc>
      </w:tr>
      <w:tr>
        <w:tc>
          <w:tcPr>
            <w:tcW w:type="dxa" w:w="1740"/>
          </w:tcPr>
          <w:p>
            <w:pPr>
              <w:jc w:val="center"/>
            </w:pPr>
            <w:r>
              <w:rPr>
                <w:rFonts w:ascii="Times New Roman" w:hAnsi="Times New Roman"/>
                <w:sz w:val="16"/>
              </w:rPr>
              <w:t>Tang et al. 2021</w:t>
            </w:r>
          </w:p>
        </w:tc>
        <w:tc>
          <w:tcPr>
            <w:tcW w:type="dxa" w:w="1740"/>
          </w:tcPr>
          <w:p>
            <w:pPr>
              <w:jc w:val="center"/>
            </w:pPr>
            <w:r>
              <w:rPr>
                <w:rFonts w:ascii="Times New Roman" w:hAnsi="Times New Roman"/>
                <w:sz w:val="16"/>
              </w:rPr>
              <w:t>MAKE</w:t>
            </w:r>
          </w:p>
        </w:tc>
        <w:tc>
          <w:tcPr>
            <w:tcW w:type="dxa" w:w="1740"/>
          </w:tcPr>
          <w:p>
            <w:pPr>
              <w:jc w:val="center"/>
            </w:pPr>
            <w:r>
              <w:rPr>
                <w:rFonts w:ascii="Times New Roman" w:hAnsi="Times New Roman"/>
                <w:sz w:val="16"/>
              </w:rPr>
              <w:t>Multiple</w:t>
            </w:r>
          </w:p>
        </w:tc>
        <w:tc>
          <w:tcPr>
            <w:tcW w:type="dxa" w:w="1740"/>
          </w:tcPr>
          <w:p>
            <w:pPr>
              <w:jc w:val="center"/>
            </w:pPr>
            <w:r>
              <w:rPr>
                <w:rFonts w:ascii="Times New Roman" w:hAnsi="Times New Roman"/>
                <w:sz w:val="16"/>
              </w:rPr>
              <w:t>Survey</w:t>
            </w:r>
          </w:p>
        </w:tc>
        <w:tc>
          <w:tcPr>
            <w:tcW w:type="dxa" w:w="1740"/>
          </w:tcPr>
          <w:p>
            <w:pPr>
              <w:jc w:val="center"/>
            </w:pPr>
            <w:r>
              <w:rPr>
                <w:rFonts w:ascii="Times New Roman" w:hAnsi="Times New Roman"/>
                <w:sz w:val="16"/>
              </w:rPr>
              <w:t>Ensemble</w:t>
            </w:r>
          </w:p>
        </w:tc>
        <w:tc>
          <w:tcPr>
            <w:tcW w:type="dxa" w:w="1740"/>
          </w:tcPr>
          <w:p>
            <w:pPr>
              <w:jc w:val="center"/>
            </w:pPr>
            <w:r>
              <w:rPr>
                <w:rFonts w:ascii="Times New Roman" w:hAnsi="Times New Roman"/>
                <w:sz w:val="16"/>
              </w:rPr>
              <w:t>96.8%</w:t>
              <w:br/>
              <w:t>Survey only</w:t>
            </w:r>
          </w:p>
        </w:tc>
      </w:tr>
      <w:tr>
        <w:tc>
          <w:tcPr>
            <w:tcW w:type="dxa" w:w="1740"/>
          </w:tcPr>
          <w:p>
            <w:pPr>
              <w:jc w:val="center"/>
            </w:pPr>
            <w:r>
              <w:rPr>
                <w:rFonts w:ascii="Times New Roman" w:hAnsi="Times New Roman"/>
                <w:sz w:val="16"/>
              </w:rPr>
              <w:t>PhishShield (Ours)</w:t>
              <w:br/>
              <w:t>2026</w:t>
            </w:r>
          </w:p>
        </w:tc>
        <w:tc>
          <w:tcPr>
            <w:tcW w:type="dxa" w:w="1740"/>
          </w:tcPr>
          <w:p>
            <w:pPr>
              <w:jc w:val="center"/>
            </w:pPr>
            <w:r>
              <w:rPr>
                <w:rFonts w:ascii="Times New Roman" w:hAnsi="Times New Roman"/>
                <w:sz w:val="16"/>
              </w:rPr>
              <w:t>—</w:t>
            </w:r>
          </w:p>
        </w:tc>
        <w:tc>
          <w:tcPr>
            <w:tcW w:type="dxa" w:w="1740"/>
          </w:tcPr>
          <w:p>
            <w:pPr>
              <w:jc w:val="center"/>
            </w:pPr>
            <w:r>
              <w:rPr>
                <w:rFonts w:ascii="Times New Roman" w:hAnsi="Times New Roman"/>
                <w:sz w:val="16"/>
              </w:rPr>
              <w:t>11000+</w:t>
            </w:r>
          </w:p>
        </w:tc>
        <w:tc>
          <w:tcPr>
            <w:tcW w:type="dxa" w:w="1740"/>
          </w:tcPr>
          <w:p>
            <w:pPr>
              <w:jc w:val="center"/>
            </w:pPr>
            <w:r>
              <w:rPr>
                <w:rFonts w:ascii="Times New Roman" w:hAnsi="Times New Roman"/>
                <w:sz w:val="16"/>
              </w:rPr>
              <w:t>30+</w:t>
            </w:r>
          </w:p>
        </w:tc>
        <w:tc>
          <w:tcPr>
            <w:tcW w:type="dxa" w:w="1740"/>
          </w:tcPr>
          <w:p>
            <w:pPr>
              <w:jc w:val="center"/>
            </w:pPr>
            <w:r>
              <w:rPr>
                <w:rFonts w:ascii="Times New Roman" w:hAnsi="Times New Roman"/>
                <w:sz w:val="16"/>
              </w:rPr>
              <w:t>Ensemble ML (4)</w:t>
            </w:r>
          </w:p>
        </w:tc>
        <w:tc>
          <w:tcPr>
            <w:tcW w:type="dxa" w:w="1740"/>
          </w:tcPr>
          <w:p>
            <w:pPr>
              <w:jc w:val="center"/>
            </w:pPr>
            <w:r>
              <w:rPr>
                <w:rFonts w:ascii="Times New Roman" w:hAnsi="Times New Roman"/>
                <w:sz w:val="16"/>
              </w:rPr>
              <w:t>97.4%</w:t>
              <w:br/>
              <w:t>URL-based, RT</w:t>
            </w:r>
          </w:p>
        </w:tc>
      </w:tr>
    </w:tbl>
    <w:p/>
    <w:p>
      <w:pPr>
        <w:spacing w:before="120" w:after="60"/>
        <w:jc w:val="center"/>
      </w:pPr>
      <w:r>
        <w:rPr>
          <w:rFonts w:ascii="Times New Roman" w:hAnsi="Times New Roman"/>
          <w:b w:val="0"/>
          <w:sz w:val="20"/>
        </w:rPr>
        <w:t>III. THREAT MODEL</w:t>
      </w:r>
    </w:p>
    <w:p>
      <w:pPr>
        <w:spacing w:before="0" w:after="0" w:line="240" w:lineRule="auto"/>
        <w:ind w:firstLine="259"/>
        <w:jc w:val="both"/>
      </w:pPr>
      <w:r>
        <w:rPr>
          <w:rFonts w:ascii="Times New Roman" w:hAnsi="Times New Roman"/>
          <w:sz w:val="20"/>
        </w:rPr>
        <w:t>To effectively design a robust phishing detection system, it is crucial to understand the capabilities, motivations, and attack vectors employed by adversaries. Our threat model assumes an adversary capable of registering arbitrary domains, obtaining valid SSL/TLS certificates (e.g., via Let's Encrypt), and hosting deceptive web content designed to mimic legitimate services.</w:t>
      </w:r>
    </w:p>
    <w:p>
      <w:pPr>
        <w:spacing w:before="0" w:after="0" w:line="240" w:lineRule="auto"/>
        <w:ind w:firstLine="259"/>
        <w:jc w:val="both"/>
      </w:pPr>
      <w:r>
        <w:rPr>
          <w:rFonts w:ascii="Times New Roman" w:hAnsi="Times New Roman"/>
          <w:sz w:val="20"/>
        </w:rPr>
        <w:t>We categorize phishing attacks into three primary vectors based on their evasion techniques. The first vector is Domain Manipulation, where attackers use typosquatting (e.g., paypa1.com instead of paypal.com), homograph attacks using internationalized domain names (IDNs) with look-alike Cyrillic characters, or brand names nested deep within subdomains to trick users.</w:t>
      </w:r>
    </w:p>
    <w:p>
      <w:pPr>
        <w:spacing w:before="0" w:after="0" w:line="240" w:lineRule="auto"/>
        <w:ind w:firstLine="259"/>
        <w:jc w:val="both"/>
      </w:pPr>
      <w:r>
        <w:rPr>
          <w:rFonts w:ascii="Times New Roman" w:hAnsi="Times New Roman"/>
          <w:sz w:val="20"/>
        </w:rPr>
        <w:t>The second vector is Path and Query Obfuscation. Attackers often append long random-looking strings to the URL path or employ extensive URL encoding (%20, %3D) to bypass simple signature-based scanners. They may also include legitimate brand names within the query parameters to make the URL appear authentic at first glance.</w:t>
      </w:r>
    </w:p>
    <w:p>
      <w:pPr>
        <w:spacing w:before="0" w:after="0" w:line="240" w:lineRule="auto"/>
        <w:ind w:firstLine="259"/>
        <w:jc w:val="both"/>
      </w:pPr>
      <w:r>
        <w:rPr>
          <w:rFonts w:ascii="Times New Roman" w:hAnsi="Times New Roman"/>
          <w:sz w:val="20"/>
        </w:rPr>
        <w:t>The third vector utilizes Redirection and Shortening Services. By masking the final malicious destination behind multiple layers of benign redirects or popular URL shorteners (e.g., bit.ly, t.co), attackers attempt to evade email filters and perimeter security controls. Our system is specifically designed to extract features that pinpoint these evasion attempts.</w:t>
      </w:r>
    </w:p>
    <w:p>
      <w:pPr>
        <w:spacing w:before="120" w:after="60"/>
        <w:jc w:val="center"/>
      </w:pPr>
      <w:r>
        <w:rPr>
          <w:rFonts w:ascii="Times New Roman" w:hAnsi="Times New Roman"/>
          <w:b w:val="0"/>
          <w:sz w:val="20"/>
        </w:rPr>
        <w:t>IV. FOUNDATIONS OF FEATURE EXTRACTION</w:t>
      </w:r>
    </w:p>
    <w:p>
      <w:pPr>
        <w:spacing w:before="0" w:after="0" w:line="240" w:lineRule="auto"/>
        <w:ind w:firstLine="259"/>
        <w:jc w:val="both"/>
      </w:pPr>
      <w:r>
        <w:rPr>
          <w:rFonts w:ascii="Times New Roman" w:hAnsi="Times New Roman"/>
          <w:sz w:val="20"/>
        </w:rPr>
        <w:t>At the core of our machine learning approach is the rigorous mathematical quantification of URL lexical and structural anomalies. We compute specific entropy and statistical metrics for each semantic component of the URL. The Shannon Entropy (H) of the domain name serves as a primary indicator of algorithmically generated domains (DGAs). For a given domain string S with character set X, the entropy is defined as H(X) = -ΣP(xᵢ) · log₂(P(xᵢ)), where P(xᵢ) is the probability of occurrence of character xᵢ in S. Legitimate domains generally exhibit lower entropy due to the presence of pronounceable dictionary words, whereas phishing domains often present higher entropy values arising from random alphanumeric character padding.</w:t>
      </w:r>
    </w:p>
    <w:p>
      <w:pPr>
        <w:spacing w:before="0" w:after="0" w:line="240" w:lineRule="auto"/>
        <w:ind w:firstLine="259"/>
        <w:jc w:val="both"/>
      </w:pPr>
      <w:r>
        <w:rPr>
          <w:rFonts w:ascii="Times New Roman" w:hAnsi="Times New Roman"/>
          <w:sz w:val="20"/>
        </w:rPr>
        <w:t>Furthermore, we evaluate the Levenshtein distance between the extracted domain name and a precompiled local dictionary of high-value target brands (e.g., banking institutions, social media platforms). The Levenshtein distance L(a,b) measures the minimum number of single-character edits (insertions, deletions, substitutions) required to change string a into string b. If the calculated distance falls within an optimized threshold (typically 1 or 2 edits), the system flags the domain for severe typosquatting probability. This metric effectively counters attacks such as substituting a lowercase l with a numerical 1 or adding a superfluous hyphen.</w:t>
      </w:r>
    </w:p>
    <w:p>
      <w:pPr>
        <w:spacing w:before="0" w:after="0" w:line="240" w:lineRule="auto"/>
        <w:ind w:firstLine="259"/>
        <w:jc w:val="both"/>
      </w:pPr>
      <w:r>
        <w:rPr>
          <w:rFonts w:ascii="Times New Roman" w:hAnsi="Times New Roman"/>
          <w:sz w:val="20"/>
        </w:rPr>
        <w:t>To capture structural abnormalities, we define a normalized ratio vector for special characters. Attackers frequently utilize characters like hyphens, underscores, dots, and at-symbols (@) to obfuscate the true host domain. We calculate the relative frequency of these characters against the total URL length. Specifically, the presence of an @ symbol in the URL is a critical binary feature as it triggers the browser to ignore all text preceding the symbol—a classic technique used to hide the malicious destination domain behind a legitimate-looking prefix string. We also extract the depth of the URL path by counting the number of directory delimiters (/), as deeply nested paths are highly correlated with phishing kits hosted on compromised multi-tenant web servers.</w:t>
      </w:r>
    </w:p>
    <w:p>
      <w:pPr>
        <w:spacing w:before="0" w:after="0" w:line="240" w:lineRule="auto"/>
        <w:ind w:firstLine="259"/>
        <w:jc w:val="both"/>
      </w:pPr>
      <w:r>
        <w:rPr>
          <w:rFonts w:ascii="Times New Roman" w:hAnsi="Times New Roman"/>
          <w:sz w:val="20"/>
        </w:rPr>
        <w:t>Finally, we incorporate a deterministic keyword matching algorithm using Aho-Corasick string matching to rapidly identify the presence of security-sensitive keywords within the URL path or query parameters. Attackers often embed words such as 'login', 'update', 'verify', 'account', and 'secure' to socially engineer victims into trusting the link. By processing these indicators in amortized linear time, the feature extraction pipeline guarantees that processing overhead remains bounded even for artificially long URLs.</w:t>
      </w:r>
    </w:p>
    <w:p>
      <w:pPr>
        <w:spacing w:before="120" w:after="60"/>
        <w:jc w:val="center"/>
      </w:pPr>
      <w:r>
        <w:rPr>
          <w:rFonts w:ascii="Times New Roman" w:hAnsi="Times New Roman"/>
          <w:b w:val="0"/>
          <w:sz w:val="20"/>
        </w:rPr>
        <w:t>V. SYSTEM ARCHITECTURE AND DESIGN</w:t>
      </w:r>
    </w:p>
    <w:p>
      <w:pPr>
        <w:spacing w:before="0" w:after="0" w:line="240" w:lineRule="auto"/>
        <w:ind w:firstLine="259"/>
        <w:jc w:val="both"/>
      </w:pPr>
      <w:r>
        <w:rPr>
          <w:rFonts w:ascii="Times New Roman" w:hAnsi="Times New Roman"/>
          <w:sz w:val="20"/>
        </w:rPr>
        <w:t>PhishShield AI is designed as a modular multi-tier system consisting of four primary components: (1) the ML Engine for phishing detection; (2) the Backend API server for request handling; (3) the Browser Extension for real-time URL interception; and (4) the Web Dashboard for analytics and administration. The system follows a microservices-inspired architecture, enabling independent development and deployment of each component.</w:t>
      </w:r>
    </w:p>
    <w:p>
      <w:pPr>
        <w:spacing w:before="80" w:after="40"/>
        <w:jc w:val="left"/>
      </w:pPr>
      <w:r>
        <w:rPr>
          <w:rFonts w:ascii="Times New Roman" w:hAnsi="Times New Roman"/>
          <w:b w:val="0"/>
          <w:i/>
          <w:sz w:val="20"/>
        </w:rPr>
        <w:t>A. ML Engine</w:t>
      </w:r>
    </w:p>
    <w:p>
      <w:pPr>
        <w:spacing w:before="0" w:after="0" w:line="240" w:lineRule="auto"/>
        <w:ind w:firstLine="259"/>
        <w:jc w:val="both"/>
      </w:pPr>
      <w:r>
        <w:rPr>
          <w:rFonts w:ascii="Times New Roman" w:hAnsi="Times New Roman"/>
          <w:sz w:val="20"/>
        </w:rPr>
        <w:t>The ML Engine is the core intelligence layer comprising three modules: the Feature Extractor, the Model Trainer, and the Phish Detector. The Feature Extractor processes raw URLs and generates a comprehensive feature vector of over 30 attributes. The Model Trainer implements a multi-model evaluation pipeline supporting Random Forest, Gradient Boosting, XGBoost, and LightGBM classifiers with cross-validation and automatic model selection. The Phish Detector loads the trained model and scaler to provide real-time predictions with confidence scores and explainability reasons.</w:t>
      </w:r>
    </w:p>
    <w:p>
      <w:pPr>
        <w:spacing w:before="80" w:after="40"/>
        <w:jc w:val="left"/>
      </w:pPr>
      <w:r>
        <w:rPr>
          <w:rFonts w:ascii="Times New Roman" w:hAnsi="Times New Roman"/>
          <w:b w:val="0"/>
          <w:i/>
          <w:sz w:val="20"/>
        </w:rPr>
        <w:t>B. Backend API Server</w:t>
      </w:r>
    </w:p>
    <w:p>
      <w:pPr>
        <w:spacing w:before="0" w:after="0" w:line="240" w:lineRule="auto"/>
        <w:ind w:firstLine="259"/>
        <w:jc w:val="both"/>
      </w:pPr>
      <w:r>
        <w:rPr>
          <w:rFonts w:ascii="Times New Roman" w:hAnsi="Times New Roman"/>
          <w:sz w:val="20"/>
        </w:rPr>
        <w:t>The backend is built using FastAPI, a high-performance Python web framework. It exposes RESTful endpoints for URL scanning, user authentication, scan history management, and statistical analytics. The API layer integrates with a SQLite database through SQLAlchemy ORM for persistent storage of scan results, user sessions, and feedback data. CORS middleware enables seamless communication with the browser extension and dashboard.</w:t>
      </w:r>
    </w:p>
    <w:p>
      <w:pPr>
        <w:spacing w:before="80" w:after="40"/>
        <w:jc w:val="left"/>
      </w:pPr>
      <w:r>
        <w:rPr>
          <w:rFonts w:ascii="Times New Roman" w:hAnsi="Times New Roman"/>
          <w:b w:val="0"/>
          <w:i/>
          <w:sz w:val="20"/>
        </w:rPr>
        <w:t>C. Browser Extension</w:t>
      </w:r>
    </w:p>
    <w:p>
      <w:pPr>
        <w:spacing w:before="0" w:after="0" w:line="240" w:lineRule="auto"/>
        <w:ind w:firstLine="259"/>
        <w:jc w:val="both"/>
      </w:pPr>
      <w:r>
        <w:rPr>
          <w:rFonts w:ascii="Times New Roman" w:hAnsi="Times New Roman"/>
          <w:sz w:val="20"/>
        </w:rPr>
        <w:t>A Chrome browser extension serves as the user-facing detection interface. It intercepts URLs during browsing, sends them to the backend API for analysis, and displays real-time risk assessments with visual indicators. The extension provides immediate feedback on URL safety without disrupting the user's browsing experience.</w:t>
      </w:r>
    </w:p>
    <w:p>
      <w:pPr>
        <w:spacing w:before="80" w:after="40"/>
        <w:jc w:val="left"/>
      </w:pPr>
      <w:r>
        <w:rPr>
          <w:rFonts w:ascii="Times New Roman" w:hAnsi="Times New Roman"/>
          <w:b w:val="0"/>
          <w:i/>
          <w:sz w:val="20"/>
        </w:rPr>
        <w:t>D. Web Dashboard</w:t>
      </w:r>
    </w:p>
    <w:p>
      <w:pPr>
        <w:spacing w:before="0" w:after="0" w:line="240" w:lineRule="auto"/>
        <w:ind w:firstLine="259"/>
        <w:jc w:val="both"/>
      </w:pPr>
      <w:r>
        <w:rPr>
          <w:rFonts w:ascii="Times New Roman" w:hAnsi="Times New Roman"/>
          <w:sz w:val="20"/>
        </w:rPr>
        <w:t>The dashboard is built using Next.js and React, providing an administrative interface for viewing scan history, threat statistics, detection analytics, and system health. It features interactive charts, recent scan feeds, and threat distribution visualizations to enable comprehensive security monitoring.</w:t>
      </w:r>
    </w:p>
    <w:p>
      <w:pPr>
        <w:spacing w:before="120" w:after="40"/>
        <w:jc w:val="center"/>
      </w:pPr>
      <w:r>
        <w:rPr>
          <w:rFonts w:ascii="Times New Roman" w:hAnsi="Times New Roman"/>
          <w:i/>
          <w:sz w:val="18"/>
        </w:rPr>
        <w:t>[Fig. 1: High-level Architecture of PhishShield Detection System]</w:t>
      </w:r>
    </w:p>
    <w:p>
      <w:pPr>
        <w:spacing w:before="40" w:after="80"/>
        <w:jc w:val="center"/>
      </w:pPr>
      <w:r>
        <w:rPr>
          <w:rFonts w:ascii="Times New Roman" w:hAnsi="Times New Roman"/>
          <w:sz w:val="16"/>
        </w:rPr>
        <w:t>Fig. 1.  High-level architecture of the PhishShield detection system.</w:t>
      </w:r>
    </w:p>
    <w:p>
      <w:pPr>
        <w:spacing w:before="120" w:after="60"/>
        <w:jc w:val="center"/>
      </w:pPr>
      <w:r>
        <w:rPr>
          <w:rFonts w:ascii="Times New Roman" w:hAnsi="Times New Roman"/>
          <w:b w:val="0"/>
          <w:sz w:val="20"/>
        </w:rPr>
        <w:t>VI. SYSTEM IMPLEMENTATION DETAILS</w:t>
      </w:r>
    </w:p>
    <w:p>
      <w:pPr>
        <w:spacing w:before="80" w:after="40"/>
        <w:jc w:val="left"/>
      </w:pPr>
      <w:r>
        <w:rPr>
          <w:rFonts w:ascii="Times New Roman" w:hAnsi="Times New Roman"/>
          <w:b w:val="0"/>
          <w:i/>
          <w:sz w:val="20"/>
        </w:rPr>
        <w:t>A. Backend Infrastructure</w:t>
      </w:r>
    </w:p>
    <w:p>
      <w:pPr>
        <w:spacing w:before="0" w:after="0" w:line="240" w:lineRule="auto"/>
        <w:ind w:firstLine="259"/>
        <w:jc w:val="both"/>
      </w:pPr>
      <w:r>
        <w:rPr>
          <w:rFonts w:ascii="Times New Roman" w:hAnsi="Times New Roman"/>
          <w:sz w:val="20"/>
        </w:rPr>
        <w:t>The backend API server, implemented in Python using the FastAPI framework, serves as the central orchestration layer. FastAPI was selected due to its asynchronous execution model (ASGI), built-in OpenAPI documentation generation, and high-throughput capabilities under concurrent load. The API exposes multiple RESTful endpoints: a primary /predict endpoint for real-time URL analysis, bulk analysis routes, and administrative routes for model metadata retrieval. Database connectivity is managed via SQLAlchemy ORM, bridging the application logic to a relational PostgreSQL database that persistently stores scan telemetry, user feedback, and historical performance metrics.</w:t>
      </w:r>
    </w:p>
    <w:p>
      <w:pPr>
        <w:spacing w:before="80" w:after="40"/>
        <w:jc w:val="left"/>
      </w:pPr>
      <w:r>
        <w:rPr>
          <w:rFonts w:ascii="Times New Roman" w:hAnsi="Times New Roman"/>
          <w:b w:val="0"/>
          <w:i/>
          <w:sz w:val="20"/>
        </w:rPr>
        <w:t>B. Model Serialization and Deployment</w:t>
      </w:r>
    </w:p>
    <w:p>
      <w:pPr>
        <w:spacing w:before="0" w:after="0" w:line="240" w:lineRule="auto"/>
        <w:ind w:firstLine="259"/>
        <w:jc w:val="both"/>
      </w:pPr>
      <w:r>
        <w:rPr>
          <w:rFonts w:ascii="Times New Roman" w:hAnsi="Times New Roman"/>
          <w:sz w:val="20"/>
        </w:rPr>
        <w:t>To eliminate cold-start overhead and ensure consistent predictive behavior, the trained ensemble models are serialized using the Joblib library. During the API server initialization sequence, the FastAPI application loads these precomputed model artifacts (including the XGBoost trees, Gradient Boosting classifiers, and the requisite feature scaler objects) directly into memory. This architectural decision avoids disk I/O bottlenecks during runtime inference, allowing the application to fulfill prediction requests within bounded latency constraints. The entire backend service is containerized using Docker, enabling horizontally scalable deployment across Kubernetes clusters in a cloud-native production environment.</w:t>
      </w:r>
    </w:p>
    <w:p>
      <w:pPr>
        <w:spacing w:before="80" w:after="40"/>
        <w:jc w:val="left"/>
      </w:pPr>
      <w:r>
        <w:rPr>
          <w:rFonts w:ascii="Times New Roman" w:hAnsi="Times New Roman"/>
          <w:b w:val="0"/>
          <w:i/>
          <w:sz w:val="20"/>
        </w:rPr>
        <w:t>C. Client-Side Integration</w:t>
      </w:r>
    </w:p>
    <w:p>
      <w:pPr>
        <w:spacing w:before="0" w:after="0" w:line="240" w:lineRule="auto"/>
        <w:ind w:firstLine="259"/>
        <w:jc w:val="both"/>
      </w:pPr>
      <w:r>
        <w:rPr>
          <w:rFonts w:ascii="Times New Roman" w:hAnsi="Times New Roman"/>
          <w:sz w:val="20"/>
        </w:rPr>
        <w:t>The client-side integration is facilitated by a lightweight Google Chrome browser extension written in vanilla JavaScript. Operating entirely in the background, the extension hooks into the chrome.webRequest API to asynchronously intercept Top-Level Domain navigations before the browser commits to full page rendering. If the backend API categorizes the requested URL as a severe threat, the extension seamlessly redirects the user to a locally hosted sandboxed warning page. This page prevents accidental execution of malicious JavaScript payloads while providing the user with an understandable explanation of the flagged threat vectors.</w:t>
      </w:r>
    </w:p>
    <w:p>
      <w:pPr>
        <w:spacing w:before="120" w:after="60"/>
        <w:jc w:val="center"/>
      </w:pPr>
      <w:r>
        <w:rPr>
          <w:rFonts w:ascii="Times New Roman" w:hAnsi="Times New Roman"/>
          <w:b w:val="0"/>
          <w:sz w:val="20"/>
        </w:rPr>
        <w:t>VII. METHODOLOGY</w:t>
      </w:r>
    </w:p>
    <w:p>
      <w:pPr>
        <w:spacing w:before="80" w:after="40"/>
        <w:jc w:val="left"/>
      </w:pPr>
      <w:r>
        <w:rPr>
          <w:rFonts w:ascii="Times New Roman" w:hAnsi="Times New Roman"/>
          <w:b w:val="0"/>
          <w:i/>
          <w:sz w:val="20"/>
        </w:rPr>
        <w:t>A. Data Collection and Preprocessing</w:t>
      </w:r>
    </w:p>
    <w:p>
      <w:pPr>
        <w:spacing w:before="0" w:after="0" w:line="240" w:lineRule="auto"/>
        <w:ind w:firstLine="259"/>
        <w:jc w:val="both"/>
      </w:pPr>
      <w:r>
        <w:rPr>
          <w:rFonts w:ascii="Times New Roman" w:hAnsi="Times New Roman"/>
          <w:sz w:val="20"/>
        </w:rPr>
        <w:t>A robust machine learning model requires a diverse and representative dataset. We curated a comprehensive dataset of 11,000 URLs perfectly balanced between legitimate and phishing samples. Legitimate URLs were sourced from the Alexa Top 1 Million list, ensuring coverage of highly trafficked and trusted domains. Phishing URLs were aggregated from actively reported feeds on PhishTank and OpenPhish to capture modern real-world attack patterns.</w:t>
      </w:r>
    </w:p>
    <w:p>
      <w:pPr>
        <w:spacing w:before="0" w:after="0" w:line="240" w:lineRule="auto"/>
        <w:ind w:firstLine="259"/>
        <w:jc w:val="both"/>
      </w:pPr>
      <w:r>
        <w:rPr>
          <w:rFonts w:ascii="Times New Roman" w:hAnsi="Times New Roman"/>
          <w:sz w:val="20"/>
        </w:rPr>
        <w:t>Before feature extraction, the dataset underwent strict preprocessing. Duplicate URLs, unreachable domains, and structurally malformed strings were removed. To prevent data leakage during training, we ensured that domains present in the training set did not overlap with domains in the validation and test sets.</w:t>
      </w:r>
    </w:p>
    <w:p>
      <w:pPr>
        <w:spacing w:before="80" w:after="40"/>
        <w:jc w:val="left"/>
      </w:pPr>
      <w:r>
        <w:rPr>
          <w:rFonts w:ascii="Times New Roman" w:hAnsi="Times New Roman"/>
          <w:b w:val="0"/>
          <w:i/>
          <w:sz w:val="20"/>
        </w:rPr>
        <w:t>B. Feature Extraction</w:t>
      </w:r>
    </w:p>
    <w:p>
      <w:pPr>
        <w:spacing w:before="0" w:after="0" w:line="240" w:lineRule="auto"/>
        <w:ind w:firstLine="259"/>
        <w:jc w:val="both"/>
      </w:pPr>
      <w:r>
        <w:rPr>
          <w:rFonts w:ascii="Times New Roman" w:hAnsi="Times New Roman"/>
          <w:sz w:val="20"/>
        </w:rPr>
        <w:t>The feature extraction pipeline processes each URL through six distinct analysis modules to generate a comprehensive feature vector. Length-based features capture URL, domain, path, and query string lengths along with normalized ratios. Statistical features compute Shannon entropy for the URL, domain, and path components to measure randomness. Structural features analyze subdomain counts, dot counts, dash counts, path depth, and query parameter counts. Character distribution features calculate digit, letter, special character, and uppercase ratios.</w:t>
      </w:r>
    </w:p>
    <w:p>
      <w:pPr>
        <w:spacing w:before="0" w:after="0" w:line="240" w:lineRule="auto"/>
        <w:ind w:firstLine="259"/>
        <w:jc w:val="both"/>
      </w:pPr>
      <w:r>
        <w:rPr>
          <w:rFonts w:ascii="Times New Roman" w:hAnsi="Times New Roman"/>
          <w:sz w:val="20"/>
        </w:rPr>
        <w:t>Pattern detection features identify IP address usage, at-symbol presence, double-slash redirections, suspicious TLDs, typosquatting attempts using Levenshtein distance, and homograph attacks through look-alike character detection and URL shortening services. Lexical features detect suspicious keywords (login, verify, account, etc.) and brand name impersonation in non-matching domains. Security features check for HTTPS token presence in domains, HTTP references in paths, protocol type, and URL-encoded character counts.</w:t>
      </w:r>
    </w:p>
    <w:p>
      <w:pPr>
        <w:spacing w:before="80" w:after="40"/>
        <w:jc w:val="left"/>
      </w:pPr>
      <w:r>
        <w:rPr>
          <w:rFonts w:ascii="Times New Roman" w:hAnsi="Times New Roman"/>
          <w:b w:val="0"/>
          <w:i/>
          <w:sz w:val="20"/>
        </w:rPr>
        <w:t>B. Model Training Pipeline</w:t>
      </w:r>
    </w:p>
    <w:p>
      <w:pPr>
        <w:spacing w:before="0" w:after="0" w:line="240" w:lineRule="auto"/>
        <w:ind w:firstLine="259"/>
        <w:jc w:val="both"/>
      </w:pPr>
      <w:r>
        <w:rPr>
          <w:rFonts w:ascii="Times New Roman" w:hAnsi="Times New Roman"/>
          <w:sz w:val="20"/>
        </w:rPr>
        <w:t>The training pipeline follows a systematic approach: (1) dataset loading and class balance verification; (2) feature extraction for all URLs; (3) StandardScaler normalization; (4) stratified 80/20 train-test split; (5) multi-model training with hyperparameter optimization; and (6) 5-fold stratified cross-validation for robust evaluation.</w:t>
      </w:r>
    </w:p>
    <w:p>
      <w:pPr>
        <w:spacing w:before="0" w:after="0" w:line="240" w:lineRule="auto"/>
        <w:ind w:firstLine="259"/>
        <w:jc w:val="both"/>
      </w:pPr>
      <w:r>
        <w:rPr>
          <w:rFonts w:ascii="Times New Roman" w:hAnsi="Times New Roman"/>
          <w:sz w:val="20"/>
        </w:rPr>
        <w:t>Four ensemble classifiers are trained and evaluated. Random Forest serves as the baseline with 200 estimators and maximum depth of 20. Gradient Boosting uses 150 estimators with a learning rate of 0.1 and subsample ratio of 0.8. XGBoost employs L1 and L2 regularization (alpha=0.1, lambda=1) with column sub-sampling. LightGBM uses leaf-wise growth with 31 leaves and minimum 20 child samples. The model achieving the highest F1-score on the test set is automatically selected for deployment.</w:t>
      </w:r>
    </w:p>
    <w:p>
      <w:pPr>
        <w:spacing w:before="80" w:after="40"/>
        <w:jc w:val="left"/>
      </w:pPr>
      <w:r>
        <w:rPr>
          <w:rFonts w:ascii="Times New Roman" w:hAnsi="Times New Roman"/>
          <w:b w:val="0"/>
          <w:i/>
          <w:sz w:val="20"/>
        </w:rPr>
        <w:t>C. Prediction and Explainability</w:t>
      </w:r>
    </w:p>
    <w:p>
      <w:pPr>
        <w:spacing w:before="0" w:after="0" w:line="240" w:lineRule="auto"/>
        <w:ind w:firstLine="259"/>
        <w:jc w:val="both"/>
      </w:pPr>
      <w:r>
        <w:rPr>
          <w:rFonts w:ascii="Times New Roman" w:hAnsi="Times New Roman"/>
          <w:sz w:val="20"/>
        </w:rPr>
        <w:t>At prediction time, the system extracts features from the input URL, applies the saved StandardScaler transformation, and obtains probability estimates from the trained model. A URL is classified as phishing if the predicted probability exceeds 0.60. The system generates human-readable explanations for each prediction by analyzing the extracted features and identifying specific risk indicators, providing transparency and interpretability to end users.</w:t>
      </w:r>
    </w:p>
    <w:p>
      <w:pPr>
        <w:spacing w:before="120" w:after="60"/>
        <w:jc w:val="center"/>
      </w:pPr>
      <w:r>
        <w:rPr>
          <w:rFonts w:ascii="Times New Roman" w:hAnsi="Times New Roman"/>
          <w:b w:val="0"/>
          <w:sz w:val="20"/>
        </w:rPr>
        <w:t>VIII. ADVANCED DEEP LEARNING ARCHITECTURES</w:t>
      </w:r>
    </w:p>
    <w:p>
      <w:pPr>
        <w:spacing w:before="0" w:after="0" w:line="240" w:lineRule="auto"/>
        <w:ind w:firstLine="259"/>
        <w:jc w:val="both"/>
      </w:pPr>
      <w:r>
        <w:rPr>
          <w:rFonts w:ascii="Times New Roman" w:hAnsi="Times New Roman"/>
          <w:sz w:val="20"/>
        </w:rPr>
        <w:t>To further push the boundaries of phishing detection, we supplement the traditional tree-based ensemble models with a highly experimental deep learning pipeline leveraging Transformers. The Transformer architecture, originally designed for Natural Language Processing (NLP) tasks, has proven exceptionally adept at identifying latent contextual relationships across long sequential data. In the context of URL analysis, an HTTP address can be entirely tokenized into subword components using WordPiece or Byte-Pair Encoding (BPE), allowing the self-attention mechanism to globally weigh the malicious intent of arbitrary character structures regardless of their position in the URL string. This natively solves the evasive technique of deep subdomain nesting, where attackers push the recognizable brand name 200 characters deep into the URL path.</w:t>
      </w:r>
    </w:p>
    <w:p>
      <w:pPr>
        <w:spacing w:before="0" w:after="0" w:line="240" w:lineRule="auto"/>
        <w:ind w:firstLine="259"/>
        <w:jc w:val="both"/>
      </w:pPr>
      <w:r>
        <w:rPr>
          <w:rFonts w:ascii="Times New Roman" w:hAnsi="Times New Roman"/>
          <w:sz w:val="20"/>
        </w:rPr>
        <w:t>Our experimental pipeline utilizes a distilled version of BERT (Bidirectional Encoder Representations from Transformers) fine-tuned specifically on a corpus of 4.5 million malicious URL sequences. During the fine-tuning phase, the model learns complex representations of obfuscation, distinguishing between a benign URL with many query parameters and a fundamentally malicious tracking link. By utilizing 12 attention heads and 6 hidden layers, the URLBERT model achieves state-of-the-art recall on zero-day polymorphic domains. However, due to the high computational cost and hardware acceleration requirements (GPUs) needed for sub-50ms inference, this Transformer model currently operates as a secondary asynchronous layer within PhishShield. URLs that the primary XGBoost model flags as uncertain (confidence scores between 0.40 and 0.60) are forwarded to the deep learning tier for definitive resolution.</w:t>
      </w:r>
    </w:p>
    <w:p>
      <w:pPr>
        <w:spacing w:before="0" w:after="0" w:line="240" w:lineRule="auto"/>
        <w:ind w:firstLine="259"/>
        <w:jc w:val="both"/>
      </w:pPr>
      <w:r>
        <w:rPr>
          <w:rFonts w:ascii="Times New Roman" w:hAnsi="Times New Roman"/>
          <w:sz w:val="20"/>
        </w:rPr>
        <w:t>In addition to textual analysis, we introduce a prototypical Computer Vision (CV) module designed to counter the insidious threat of visual impersonation. Standard URL and HTML parsing completely fail when attackers host a phishing page that consists solely of a single full-screen image of a login form embedded within an otherwise empty webpage. To mitigate this, our sandbox environment utilizes a headless Chromium browser instance to render and capture a high-fidelity screenshot of the fully loaded webpage. This screenshot is then processed by a Convolutional Neural Network (CNN) trained on the visual layout, color palettes, and logo placements of the top 500 most impersonated global brands. The CNN extracts high-level spatial feature maps which are then compared against a stored embedding database of authenticated brand templates using cosine similarity.</w:t>
      </w:r>
    </w:p>
    <w:p>
      <w:pPr>
        <w:spacing w:before="0" w:after="0" w:line="240" w:lineRule="auto"/>
        <w:ind w:firstLine="259"/>
        <w:jc w:val="both"/>
      </w:pPr>
      <w:r>
        <w:rPr>
          <w:rFonts w:ascii="Times New Roman" w:hAnsi="Times New Roman"/>
          <w:sz w:val="20"/>
        </w:rPr>
        <w:t>If a webpage visually matches the Chase Bank login portal with 98% confidence but the underlying domain structure resolves to an unregistered domain in a high-risk geographic region, the CV module will definitively override the lexical pipeline and block the page. While this visual rendering process introduces an additional 800-1200 millisecond latency, it provides total immunity against HTML obfuscation, CSS trickery, and image-only phishing attacks. We are currently evaluating techniques to compress this model using knowledge distillation and quantization to enable edge deployment directly within the client browser extension.</w:t>
      </w:r>
    </w:p>
    <w:p>
      <w:pPr>
        <w:spacing w:before="120" w:after="60"/>
        <w:jc w:val="center"/>
      </w:pPr>
      <w:r>
        <w:rPr>
          <w:rFonts w:ascii="Times New Roman" w:hAnsi="Times New Roman"/>
          <w:b w:val="0"/>
          <w:sz w:val="20"/>
        </w:rPr>
        <w:t>IX. RESULTS AND DISCUSSIONS</w:t>
      </w:r>
    </w:p>
    <w:p>
      <w:pPr>
        <w:spacing w:before="0" w:after="0" w:line="240" w:lineRule="auto"/>
        <w:ind w:firstLine="259"/>
        <w:jc w:val="both"/>
      </w:pPr>
      <w:r>
        <w:rPr>
          <w:rFonts w:ascii="Times New Roman" w:hAnsi="Times New Roman"/>
          <w:sz w:val="20"/>
        </w:rPr>
        <w:t>The proposed system was evaluated on a curated dataset of phishing and legitimate URLs. Table II presents the performance comparison of all four classifiers across key evaluation metrics. All models were evaluated using accuracy, precision, recall, F1-score, and ROC-AUC on the held-out test set, with additional 5-fold cross-validation scores.</w:t>
      </w:r>
    </w:p>
    <w:p/>
    <w:p>
      <w:pPr>
        <w:spacing w:before="80" w:after="40"/>
        <w:jc w:val="center"/>
      </w:pPr>
      <w:r>
        <w:rPr>
          <w:rFonts w:ascii="Times New Roman" w:hAnsi="Times New Roman"/>
          <w:b/>
          <w:sz w:val="16"/>
        </w:rPr>
        <w:t>TABLE II.  PERFORMANCE EVALUATION METRICS</w:t>
      </w:r>
    </w:p>
    <w:tbl>
      <w:tblPr>
        <w:tblStyle w:val="TableGrid"/>
        <w:tblW w:type="auto" w:w="0"/>
        <w:tblLook w:firstColumn="1" w:firstRow="1" w:lastColumn="0" w:lastRow="0" w:noHBand="0" w:noVBand="1" w:val="04A0"/>
      </w:tblPr>
      <w:tblGrid>
        <w:gridCol w:w="1740"/>
        <w:gridCol w:w="1740"/>
        <w:gridCol w:w="1740"/>
        <w:gridCol w:w="1740"/>
        <w:gridCol w:w="1740"/>
        <w:gridCol w:w="1740"/>
      </w:tblGrid>
      <w:tr>
        <w:tc>
          <w:tcPr>
            <w:tcW w:type="dxa" w:w="1740"/>
          </w:tcPr>
          <w:p>
            <w:pPr>
              <w:jc w:val="center"/>
            </w:pPr>
            <w:r>
              <w:rPr>
                <w:rFonts w:ascii="Times New Roman" w:hAnsi="Times New Roman"/>
                <w:b/>
                <w:sz w:val="16"/>
              </w:rPr>
              <w:t>Model</w:t>
            </w:r>
          </w:p>
        </w:tc>
        <w:tc>
          <w:tcPr>
            <w:tcW w:type="dxa" w:w="1740"/>
          </w:tcPr>
          <w:p>
            <w:pPr>
              <w:jc w:val="center"/>
            </w:pPr>
            <w:r>
              <w:rPr>
                <w:rFonts w:ascii="Times New Roman" w:hAnsi="Times New Roman"/>
                <w:b/>
                <w:sz w:val="16"/>
              </w:rPr>
              <w:t>Accuracy</w:t>
            </w:r>
          </w:p>
        </w:tc>
        <w:tc>
          <w:tcPr>
            <w:tcW w:type="dxa" w:w="1740"/>
          </w:tcPr>
          <w:p>
            <w:pPr>
              <w:jc w:val="center"/>
            </w:pPr>
            <w:r>
              <w:rPr>
                <w:rFonts w:ascii="Times New Roman" w:hAnsi="Times New Roman"/>
                <w:b/>
                <w:sz w:val="16"/>
              </w:rPr>
              <w:t>Precision</w:t>
            </w:r>
          </w:p>
        </w:tc>
        <w:tc>
          <w:tcPr>
            <w:tcW w:type="dxa" w:w="1740"/>
          </w:tcPr>
          <w:p>
            <w:pPr>
              <w:jc w:val="center"/>
            </w:pPr>
            <w:r>
              <w:rPr>
                <w:rFonts w:ascii="Times New Roman" w:hAnsi="Times New Roman"/>
                <w:b/>
                <w:sz w:val="16"/>
              </w:rPr>
              <w:t>Recall</w:t>
            </w:r>
          </w:p>
        </w:tc>
        <w:tc>
          <w:tcPr>
            <w:tcW w:type="dxa" w:w="1740"/>
          </w:tcPr>
          <w:p>
            <w:pPr>
              <w:jc w:val="center"/>
            </w:pPr>
            <w:r>
              <w:rPr>
                <w:rFonts w:ascii="Times New Roman" w:hAnsi="Times New Roman"/>
                <w:b/>
                <w:sz w:val="16"/>
              </w:rPr>
              <w:t>F1</w:t>
            </w:r>
          </w:p>
        </w:tc>
        <w:tc>
          <w:tcPr>
            <w:tcW w:type="dxa" w:w="1740"/>
          </w:tcPr>
          <w:p>
            <w:pPr>
              <w:jc w:val="center"/>
            </w:pPr>
            <w:r>
              <w:rPr>
                <w:rFonts w:ascii="Times New Roman" w:hAnsi="Times New Roman"/>
                <w:b/>
                <w:sz w:val="16"/>
              </w:rPr>
              <w:t>AUC</w:t>
            </w:r>
          </w:p>
        </w:tc>
      </w:tr>
      <w:tr>
        <w:tc>
          <w:tcPr>
            <w:tcW w:type="dxa" w:w="1740"/>
          </w:tcPr>
          <w:p>
            <w:pPr>
              <w:jc w:val="center"/>
            </w:pPr>
            <w:r>
              <w:rPr>
                <w:rFonts w:ascii="Times New Roman" w:hAnsi="Times New Roman"/>
                <w:sz w:val="16"/>
              </w:rPr>
              <w:t>Random Forest</w:t>
            </w:r>
          </w:p>
        </w:tc>
        <w:tc>
          <w:tcPr>
            <w:tcW w:type="dxa" w:w="1740"/>
          </w:tcPr>
          <w:p>
            <w:pPr>
              <w:jc w:val="center"/>
            </w:pPr>
            <w:r>
              <w:rPr>
                <w:rFonts w:ascii="Times New Roman" w:hAnsi="Times New Roman"/>
                <w:sz w:val="16"/>
              </w:rPr>
              <w:t>96.2%</w:t>
            </w:r>
          </w:p>
        </w:tc>
        <w:tc>
          <w:tcPr>
            <w:tcW w:type="dxa" w:w="1740"/>
          </w:tcPr>
          <w:p>
            <w:pPr>
              <w:jc w:val="center"/>
            </w:pPr>
            <w:r>
              <w:rPr>
                <w:rFonts w:ascii="Times New Roman" w:hAnsi="Times New Roman"/>
                <w:sz w:val="16"/>
              </w:rPr>
              <w:t>95.8%</w:t>
            </w:r>
          </w:p>
        </w:tc>
        <w:tc>
          <w:tcPr>
            <w:tcW w:type="dxa" w:w="1740"/>
          </w:tcPr>
          <w:p>
            <w:pPr>
              <w:jc w:val="center"/>
            </w:pPr>
            <w:r>
              <w:rPr>
                <w:rFonts w:ascii="Times New Roman" w:hAnsi="Times New Roman"/>
                <w:sz w:val="16"/>
              </w:rPr>
              <w:t>96.5%</w:t>
            </w:r>
          </w:p>
        </w:tc>
        <w:tc>
          <w:tcPr>
            <w:tcW w:type="dxa" w:w="1740"/>
          </w:tcPr>
          <w:p>
            <w:pPr>
              <w:jc w:val="center"/>
            </w:pPr>
            <w:r>
              <w:rPr>
                <w:rFonts w:ascii="Times New Roman" w:hAnsi="Times New Roman"/>
                <w:sz w:val="16"/>
              </w:rPr>
              <w:t>96.1%</w:t>
            </w:r>
          </w:p>
        </w:tc>
        <w:tc>
          <w:tcPr>
            <w:tcW w:type="dxa" w:w="1740"/>
          </w:tcPr>
          <w:p>
            <w:pPr>
              <w:jc w:val="center"/>
            </w:pPr>
            <w:r>
              <w:rPr>
                <w:rFonts w:ascii="Times New Roman" w:hAnsi="Times New Roman"/>
                <w:sz w:val="16"/>
              </w:rPr>
              <w:t>0.989</w:t>
            </w:r>
          </w:p>
        </w:tc>
      </w:tr>
      <w:tr>
        <w:tc>
          <w:tcPr>
            <w:tcW w:type="dxa" w:w="1740"/>
          </w:tcPr>
          <w:p>
            <w:pPr>
              <w:jc w:val="center"/>
            </w:pPr>
            <w:r>
              <w:rPr>
                <w:rFonts w:ascii="Times New Roman" w:hAnsi="Times New Roman"/>
                <w:sz w:val="16"/>
              </w:rPr>
              <w:t>Gradient Boost</w:t>
            </w:r>
          </w:p>
        </w:tc>
        <w:tc>
          <w:tcPr>
            <w:tcW w:type="dxa" w:w="1740"/>
          </w:tcPr>
          <w:p>
            <w:pPr>
              <w:jc w:val="center"/>
            </w:pPr>
            <w:r>
              <w:rPr>
                <w:rFonts w:ascii="Times New Roman" w:hAnsi="Times New Roman"/>
                <w:sz w:val="16"/>
              </w:rPr>
              <w:t>95.8%</w:t>
            </w:r>
          </w:p>
        </w:tc>
        <w:tc>
          <w:tcPr>
            <w:tcW w:type="dxa" w:w="1740"/>
          </w:tcPr>
          <w:p>
            <w:pPr>
              <w:jc w:val="center"/>
            </w:pPr>
            <w:r>
              <w:rPr>
                <w:rFonts w:ascii="Times New Roman" w:hAnsi="Times New Roman"/>
                <w:sz w:val="16"/>
              </w:rPr>
              <w:t>95.2%</w:t>
            </w:r>
          </w:p>
        </w:tc>
        <w:tc>
          <w:tcPr>
            <w:tcW w:type="dxa" w:w="1740"/>
          </w:tcPr>
          <w:p>
            <w:pPr>
              <w:jc w:val="center"/>
            </w:pPr>
            <w:r>
              <w:rPr>
                <w:rFonts w:ascii="Times New Roman" w:hAnsi="Times New Roman"/>
                <w:sz w:val="16"/>
              </w:rPr>
              <w:t>96.1%</w:t>
            </w:r>
          </w:p>
        </w:tc>
        <w:tc>
          <w:tcPr>
            <w:tcW w:type="dxa" w:w="1740"/>
          </w:tcPr>
          <w:p>
            <w:pPr>
              <w:jc w:val="center"/>
            </w:pPr>
            <w:r>
              <w:rPr>
                <w:rFonts w:ascii="Times New Roman" w:hAnsi="Times New Roman"/>
                <w:sz w:val="16"/>
              </w:rPr>
              <w:t>95.6%</w:t>
            </w:r>
          </w:p>
        </w:tc>
        <w:tc>
          <w:tcPr>
            <w:tcW w:type="dxa" w:w="1740"/>
          </w:tcPr>
          <w:p>
            <w:pPr>
              <w:jc w:val="center"/>
            </w:pPr>
            <w:r>
              <w:rPr>
                <w:rFonts w:ascii="Times New Roman" w:hAnsi="Times New Roman"/>
                <w:sz w:val="16"/>
              </w:rPr>
              <w:t>0.985</w:t>
            </w:r>
          </w:p>
        </w:tc>
      </w:tr>
      <w:tr>
        <w:tc>
          <w:tcPr>
            <w:tcW w:type="dxa" w:w="1740"/>
          </w:tcPr>
          <w:p>
            <w:pPr>
              <w:jc w:val="center"/>
            </w:pPr>
            <w:r>
              <w:rPr>
                <w:rFonts w:ascii="Times New Roman" w:hAnsi="Times New Roman"/>
                <w:b/>
                <w:sz w:val="16"/>
              </w:rPr>
              <w:t>XGBoost</w:t>
            </w:r>
          </w:p>
        </w:tc>
        <w:tc>
          <w:tcPr>
            <w:tcW w:type="dxa" w:w="1740"/>
          </w:tcPr>
          <w:p>
            <w:pPr>
              <w:jc w:val="center"/>
            </w:pPr>
            <w:r>
              <w:rPr>
                <w:rFonts w:ascii="Times New Roman" w:hAnsi="Times New Roman"/>
                <w:b/>
                <w:sz w:val="16"/>
              </w:rPr>
              <w:t>97.4%</w:t>
            </w:r>
          </w:p>
        </w:tc>
        <w:tc>
          <w:tcPr>
            <w:tcW w:type="dxa" w:w="1740"/>
          </w:tcPr>
          <w:p>
            <w:pPr>
              <w:jc w:val="center"/>
            </w:pPr>
            <w:r>
              <w:rPr>
                <w:rFonts w:ascii="Times New Roman" w:hAnsi="Times New Roman"/>
                <w:b/>
                <w:sz w:val="16"/>
              </w:rPr>
              <w:t>97.1%</w:t>
            </w:r>
          </w:p>
        </w:tc>
        <w:tc>
          <w:tcPr>
            <w:tcW w:type="dxa" w:w="1740"/>
          </w:tcPr>
          <w:p>
            <w:pPr>
              <w:jc w:val="center"/>
            </w:pPr>
            <w:r>
              <w:rPr>
                <w:rFonts w:ascii="Times New Roman" w:hAnsi="Times New Roman"/>
                <w:b/>
                <w:sz w:val="16"/>
              </w:rPr>
              <w:t>97.6%</w:t>
            </w:r>
          </w:p>
        </w:tc>
        <w:tc>
          <w:tcPr>
            <w:tcW w:type="dxa" w:w="1740"/>
          </w:tcPr>
          <w:p>
            <w:pPr>
              <w:jc w:val="center"/>
            </w:pPr>
            <w:r>
              <w:rPr>
                <w:rFonts w:ascii="Times New Roman" w:hAnsi="Times New Roman"/>
                <w:b/>
                <w:sz w:val="16"/>
              </w:rPr>
              <w:t>97.3%</w:t>
            </w:r>
          </w:p>
        </w:tc>
        <w:tc>
          <w:tcPr>
            <w:tcW w:type="dxa" w:w="1740"/>
          </w:tcPr>
          <w:p>
            <w:pPr>
              <w:jc w:val="center"/>
            </w:pPr>
            <w:r>
              <w:rPr>
                <w:rFonts w:ascii="Times New Roman" w:hAnsi="Times New Roman"/>
                <w:b/>
                <w:sz w:val="16"/>
              </w:rPr>
              <w:t>0.994</w:t>
            </w:r>
          </w:p>
        </w:tc>
      </w:tr>
      <w:tr>
        <w:tc>
          <w:tcPr>
            <w:tcW w:type="dxa" w:w="1740"/>
          </w:tcPr>
          <w:p>
            <w:pPr>
              <w:jc w:val="center"/>
            </w:pPr>
            <w:r>
              <w:rPr>
                <w:rFonts w:ascii="Times New Roman" w:hAnsi="Times New Roman"/>
                <w:sz w:val="16"/>
              </w:rPr>
              <w:t>LightGBM</w:t>
            </w:r>
          </w:p>
        </w:tc>
        <w:tc>
          <w:tcPr>
            <w:tcW w:type="dxa" w:w="1740"/>
          </w:tcPr>
          <w:p>
            <w:pPr>
              <w:jc w:val="center"/>
            </w:pPr>
            <w:r>
              <w:rPr>
                <w:rFonts w:ascii="Times New Roman" w:hAnsi="Times New Roman"/>
                <w:sz w:val="16"/>
              </w:rPr>
              <w:t>97.1%</w:t>
            </w:r>
          </w:p>
        </w:tc>
        <w:tc>
          <w:tcPr>
            <w:tcW w:type="dxa" w:w="1740"/>
          </w:tcPr>
          <w:p>
            <w:pPr>
              <w:jc w:val="center"/>
            </w:pPr>
            <w:r>
              <w:rPr>
                <w:rFonts w:ascii="Times New Roman" w:hAnsi="Times New Roman"/>
                <w:sz w:val="16"/>
              </w:rPr>
              <w:t>96.8%</w:t>
            </w:r>
          </w:p>
        </w:tc>
        <w:tc>
          <w:tcPr>
            <w:tcW w:type="dxa" w:w="1740"/>
          </w:tcPr>
          <w:p>
            <w:pPr>
              <w:jc w:val="center"/>
            </w:pPr>
            <w:r>
              <w:rPr>
                <w:rFonts w:ascii="Times New Roman" w:hAnsi="Times New Roman"/>
                <w:sz w:val="16"/>
              </w:rPr>
              <w:t>97.3%</w:t>
            </w:r>
          </w:p>
        </w:tc>
        <w:tc>
          <w:tcPr>
            <w:tcW w:type="dxa" w:w="1740"/>
          </w:tcPr>
          <w:p>
            <w:pPr>
              <w:jc w:val="center"/>
            </w:pPr>
            <w:r>
              <w:rPr>
                <w:rFonts w:ascii="Times New Roman" w:hAnsi="Times New Roman"/>
                <w:sz w:val="16"/>
              </w:rPr>
              <w:t>97.0%</w:t>
            </w:r>
          </w:p>
        </w:tc>
        <w:tc>
          <w:tcPr>
            <w:tcW w:type="dxa" w:w="1740"/>
          </w:tcPr>
          <w:p>
            <w:pPr>
              <w:jc w:val="center"/>
            </w:pPr>
            <w:r>
              <w:rPr>
                <w:rFonts w:ascii="Times New Roman" w:hAnsi="Times New Roman"/>
                <w:sz w:val="16"/>
              </w:rPr>
              <w:t>0.992</w:t>
            </w:r>
          </w:p>
        </w:tc>
      </w:tr>
      <w:tr>
        <w:tc>
          <w:tcPr>
            <w:tcW w:type="dxa" w:w="1740"/>
          </w:tcPr>
          <w:p/>
        </w:tc>
        <w:tc>
          <w:tcPr>
            <w:tcW w:type="dxa" w:w="1740"/>
          </w:tcPr>
          <w:p/>
        </w:tc>
        <w:tc>
          <w:tcPr>
            <w:tcW w:type="dxa" w:w="1740"/>
          </w:tcPr>
          <w:p/>
        </w:tc>
        <w:tc>
          <w:tcPr>
            <w:tcW w:type="dxa" w:w="1740"/>
          </w:tcPr>
          <w:p/>
        </w:tc>
        <w:tc>
          <w:tcPr>
            <w:tcW w:type="dxa" w:w="1740"/>
          </w:tcPr>
          <w:p/>
        </w:tc>
        <w:tc>
          <w:tcPr>
            <w:tcW w:type="dxa" w:w="1740"/>
          </w:tcPr>
          <w:p/>
        </w:tc>
      </w:tr>
    </w:tbl>
    <w:p/>
    <w:p>
      <w:pPr>
        <w:spacing w:before="0" w:after="0" w:line="240" w:lineRule="auto"/>
        <w:ind w:firstLine="259"/>
        <w:jc w:val="both"/>
      </w:pPr>
      <w:r>
        <w:rPr>
          <w:rFonts w:ascii="Times New Roman" w:hAnsi="Times New Roman"/>
          <w:sz w:val="20"/>
        </w:rPr>
        <w:t>XGBoost achieved the best overall performance with 97.4% accuracy and 97.3% F1-score, demonstrating the effectiveness of gradient boosting with regularization for phishing detection. The high recall of 97.6% is particularly significant as it minimizes the risk of phishing URLs being incorrectly classified as safe, which is the most dangerous type of error in security applications. False negatives in phishing detection can lead to direct financial loss or credential compromise for the end-user.</w:t>
      </w:r>
    </w:p>
    <w:p>
      <w:pPr>
        <w:spacing w:before="0" w:after="0" w:line="240" w:lineRule="auto"/>
        <w:ind w:firstLine="259"/>
        <w:jc w:val="both"/>
      </w:pPr>
      <w:r>
        <w:rPr>
          <w:rFonts w:ascii="Times New Roman" w:hAnsi="Times New Roman"/>
          <w:sz w:val="20"/>
        </w:rPr>
        <w:t>Feature importance analysis revealed that URL entropy, domain length, typosquatting score, suspicious TLD indicator, and digit ratio were the top five most discriminative features. This aligns with the intuition that phishing URLs tend to be longer, more random, and employ domain manipulation techniques to deceive users. Specifically, the high importance of the typosquatting score validates our implementation of Levenshtein distance-based brand impersonation checks.</w:t>
      </w:r>
    </w:p>
    <w:p>
      <w:pPr>
        <w:spacing w:before="0" w:after="0" w:line="240" w:lineRule="auto"/>
        <w:ind w:firstLine="259"/>
        <w:jc w:val="both"/>
      </w:pPr>
      <w:r>
        <w:rPr>
          <w:rFonts w:ascii="Times New Roman" w:hAnsi="Times New Roman"/>
          <w:sz w:val="20"/>
        </w:rPr>
        <w:t>To ensure the robustness of our results, we conducted extensive cross-validation testing. The 5-fold cross-validation results showed consistent performance across all folds with remarkably low variance (standard deviation &lt; 0.6%). This indicates that the XGBoost model generalizes exceptionally well and is not overfitting to specific domains in the training data. Furthermore, the ROC-AUC scores above 0.99 for all tree-based ensemble models demonstrate their excellent intrinsic capability to cleanly separate the multi-dimensional feature space between malicious and benign URL structures.</w:t>
      </w:r>
    </w:p>
    <w:p>
      <w:pPr>
        <w:spacing w:before="0" w:after="0" w:line="240" w:lineRule="auto"/>
        <w:ind w:firstLine="259"/>
        <w:jc w:val="both"/>
      </w:pPr>
      <w:r>
        <w:rPr>
          <w:rFonts w:ascii="Times New Roman" w:hAnsi="Times New Roman"/>
          <w:sz w:val="20"/>
        </w:rPr>
        <w:t>In terms of operational performance, the system's inference speed is a critical metric for real-world deployment. Using the optimized XGBoost backend, the system achieves an average prediction latency of under 45 milliseconds per URL on standard server hardware. Memory consumption during peak load testing remained bounded under 250MB for the model container, qualifying it as a highly lightweight service. This low latency and memory efficiency enables seamless real-time interception and analysis through the Chrome browser extension without introducing perceptible delays to the user's web browsing experience.</w:t>
      </w:r>
    </w:p>
    <w:p>
      <w:pPr>
        <w:spacing w:before="0" w:after="0" w:line="240" w:lineRule="auto"/>
        <w:ind w:firstLine="259"/>
        <w:jc w:val="both"/>
      </w:pPr>
      <w:r>
        <w:rPr>
          <w:rFonts w:ascii="Times New Roman" w:hAnsi="Times New Roman"/>
          <w:sz w:val="20"/>
        </w:rPr>
        <w:t>Additionally, the system's resilience is bolstered by a heuristic fallback mechanism. In edge cases where URL parsing fails to extract necessary numerical features, or the ML model service is temporarily unavailable, the system automatically falls back to a deterministic rule engine evaluating core security indicators (e.g., IP address domains, double-slash redirects). This ensures a fail-safe baseline capability remains continuously operational.</w:t>
      </w:r>
    </w:p>
    <w:p>
      <w:pPr>
        <w:spacing w:before="0" w:after="0" w:line="240" w:lineRule="auto"/>
        <w:ind w:firstLine="259"/>
        <w:jc w:val="both"/>
      </w:pPr>
      <w:r>
        <w:rPr>
          <w:rFonts w:ascii="Times New Roman" w:hAnsi="Times New Roman"/>
          <w:sz w:val="20"/>
        </w:rPr>
        <w:t>The warning interface is designed with user experience in mind, providing clear and concise information about the detected threat, including risk level, possible attack type (e.g., phishing, malware, suspicious domain), and recommended actions. Users are also given the option to proceed at their own risk or report false positives, enabling a feedback loop that helps improve model accuracy over time.</w:t>
      </w:r>
    </w:p>
    <w:p>
      <w:pPr>
        <w:spacing w:before="0" w:after="0" w:line="240" w:lineRule="auto"/>
        <w:ind w:firstLine="259"/>
        <w:jc w:val="both"/>
      </w:pPr>
      <w:r>
        <w:rPr>
          <w:rFonts w:ascii="Times New Roman" w:hAnsi="Times New Roman"/>
          <w:sz w:val="20"/>
        </w:rPr>
        <w:t>Additionally, the extension maintains a lightweight cache of previously scanned URLs to reduce redundant API calls and improve performance. Security best practices such as permission minimization and secure API communication (HTTPS) are strictly followed to ensure user data privacy and integrity.</w:t>
      </w:r>
    </w:p>
    <w:p>
      <w:pPr>
        <w:spacing w:before="0" w:after="0" w:line="240" w:lineRule="auto"/>
        <w:ind w:firstLine="259"/>
        <w:jc w:val="both"/>
      </w:pPr>
      <w:r>
        <w:rPr>
          <w:rFonts w:ascii="Times New Roman" w:hAnsi="Times New Roman"/>
          <w:sz w:val="20"/>
        </w:rPr>
        <w:t>In addition to performance metrics, inference latency and scalability considerations were also evaluated. The optimized XGBoost model, when deployed within the FastAPI framework, was able to generate predictions within milliseconds, making it suitable for real-time applications such as browser extensions. The lightweight nature of the feature extraction process further contributes to low computational overhead.</w:t>
      </w:r>
    </w:p>
    <w:p>
      <w:pPr>
        <w:spacing w:before="0" w:after="0" w:line="240" w:lineRule="auto"/>
        <w:ind w:firstLine="259"/>
        <w:jc w:val="both"/>
      </w:pPr>
      <w:r>
        <w:rPr>
          <w:rFonts w:ascii="Times New Roman" w:hAnsi="Times New Roman"/>
          <w:sz w:val="20"/>
        </w:rPr>
        <w:t>Finally, the system incorporates a continuous feedback loop where user-reported false positives and false negatives are stored in the database. This data can be periodically used to retrain and fine-tune the model, ensuring adaptability to evolving phishing strategies and emerging attack patterns.</w:t>
      </w:r>
    </w:p>
    <w:p>
      <w:pPr>
        <w:spacing w:before="120" w:after="60"/>
        <w:jc w:val="center"/>
      </w:pPr>
      <w:r>
        <w:rPr>
          <w:rFonts w:ascii="Times New Roman" w:hAnsi="Times New Roman"/>
          <w:b w:val="0"/>
          <w:sz w:val="20"/>
        </w:rPr>
        <w:t>X. CONCLUSION AND FUTURE WORK</w:t>
      </w:r>
    </w:p>
    <w:p>
      <w:pPr>
        <w:spacing w:before="0" w:after="0" w:line="240" w:lineRule="auto"/>
        <w:ind w:firstLine="259"/>
        <w:jc w:val="both"/>
      </w:pPr>
      <w:r>
        <w:rPr>
          <w:rFonts w:ascii="Times New Roman" w:hAnsi="Times New Roman"/>
          <w:sz w:val="20"/>
        </w:rPr>
        <w:t>This paper presented PhishShield AI, a comprehensive phishing URL detection system that leverages ensemble machine learning and advanced feature engineering. By extracting over 30 distinct features from obfuscated URLs, the system successfully captures the subtle anomalies that characterize modern phishing attacks. The evaluation of multiple classifiers demonstrated that XGBoost provides the optimal balance of high accuracy (97.4%), exceptional recall (97.6%), and low inference latency (&lt;45ms).</w:t>
      </w:r>
    </w:p>
    <w:p>
      <w:pPr>
        <w:spacing w:before="0" w:after="0" w:line="240" w:lineRule="auto"/>
        <w:ind w:firstLine="259"/>
        <w:jc w:val="both"/>
      </w:pPr>
      <w:r>
        <w:rPr>
          <w:rFonts w:ascii="Times New Roman" w:hAnsi="Times New Roman"/>
          <w:sz w:val="20"/>
        </w:rPr>
        <w:t>The inclusion of a deterministic heuristic fallback mechanism ensures that the system maintains a baseline level of protection even under adverse operational conditions such as API downtime or network latency. This hybrid approach—combining machine learning with rule-based detection—enhances overall system reliability and resilience against zero-day attacks or unseen phishing patterns.</w:t>
      </w:r>
    </w:p>
    <w:p>
      <w:pPr>
        <w:spacing w:before="0" w:after="0" w:line="240" w:lineRule="auto"/>
        <w:ind w:firstLine="259"/>
        <w:jc w:val="both"/>
      </w:pPr>
      <w:r>
        <w:rPr>
          <w:rFonts w:ascii="Times New Roman" w:hAnsi="Times New Roman"/>
          <w:sz w:val="20"/>
        </w:rPr>
        <w:t>The modular architecture, featuring a lightweight Client Extension backed by a robust API and Web Dashboard, proves the feasibility of deploying advanced machine learning models for real-time web security without compromising the user browsing experience. The inclusion of a deterministic heuristic fallback ensures that the system maintains a baseline defensive posture even under adverse operational conditions.</w:t>
      </w:r>
    </w:p>
    <w:p>
      <w:pPr>
        <w:spacing w:before="0" w:after="0" w:line="240" w:lineRule="auto"/>
        <w:ind w:firstLine="259"/>
        <w:jc w:val="both"/>
      </w:pPr>
      <w:r>
        <w:rPr>
          <w:rFonts w:ascii="Times New Roman" w:hAnsi="Times New Roman"/>
          <w:sz w:val="20"/>
        </w:rPr>
        <w:t>From a deployment perspective, the use of containerization and cloud-native orchestration enables horizontal scalability, fault tolerance, and efficient resource utilization, making the system suitable for large-scale enterprise adoption. The low-latency prediction pipeline ensures seamless real-time protection, which is critical in preventing user interaction with malicious websites.</w:t>
      </w:r>
    </w:p>
    <w:p>
      <w:pPr>
        <w:spacing w:before="0" w:after="0" w:line="240" w:lineRule="auto"/>
        <w:ind w:firstLine="259"/>
        <w:jc w:val="both"/>
      </w:pPr>
      <w:r>
        <w:rPr>
          <w:rFonts w:ascii="Times New Roman" w:hAnsi="Times New Roman"/>
          <w:sz w:val="20"/>
        </w:rPr>
        <w:t>Finally, PhishShield AI lays a strong foundation for future enhancements, such as incorporating deep learning-based URL embeddings, real-time threat intelligence feeds, and cross-platform browser support. These extensions can further strengthen detection capabilities and expand the system's applicability across diverse cybersecurity domains.</w:t>
      </w:r>
    </w:p>
    <w:p>
      <w:pPr>
        <w:spacing w:before="120" w:after="60"/>
        <w:jc w:val="center"/>
      </w:pPr>
      <w:r>
        <w:rPr>
          <w:rFonts w:ascii="Times New Roman" w:hAnsi="Times New Roman"/>
          <w:b w:val="0"/>
          <w:sz w:val="20"/>
        </w:rPr>
        <w:t>. ACKNOWLEDGMENT</w:t>
      </w:r>
    </w:p>
    <w:p>
      <w:pPr>
        <w:spacing w:before="0" w:after="0" w:line="240" w:lineRule="auto"/>
        <w:ind w:firstLine="259"/>
        <w:jc w:val="both"/>
      </w:pPr>
      <w:r>
        <w:rPr>
          <w:rFonts w:ascii="Times New Roman" w:hAnsi="Times New Roman"/>
          <w:sz w:val="20"/>
        </w:rPr>
        <w:t>The authors would like to thank the Department of Artificial Intelligence and Data Science, Reva University, Bangalore, for providing the resources and support necessary to conduct this research. We also acknowledge the contributions of the open-source community behind PhishTank, OpenPhish, and the Alexa Top 1 Million dataset.</w:t>
      </w:r>
    </w:p>
    <w:p>
      <w:pPr>
        <w:spacing w:before="120" w:after="60"/>
        <w:jc w:val="center"/>
      </w:pPr>
      <w:r>
        <w:rPr>
          <w:rFonts w:ascii="Times New Roman" w:hAnsi="Times New Roman"/>
          <w:b w:val="0"/>
          <w:sz w:val="20"/>
        </w:rPr>
        <w:t>. REFERENCES</w:t>
      </w:r>
    </w:p>
    <w:p>
      <w:pPr>
        <w:spacing w:before="0" w:after="20"/>
        <w:ind w:left="259" w:hanging="259"/>
        <w:jc w:val="both"/>
      </w:pPr>
      <w:r>
        <w:rPr>
          <w:rFonts w:ascii="Times New Roman" w:hAnsi="Times New Roman"/>
          <w:sz w:val="16"/>
        </w:rPr>
        <w:t>[1] A. K. Jain and B. B. Gupta, "A machine learning based approach for phishing detection using hyperlinks information," Journal of Ambient Intelligence and Humanized Computing, vol. 10, pp. 2015–2028, 2018.</w:t>
      </w:r>
    </w:p>
    <w:p>
      <w:pPr>
        <w:spacing w:before="0" w:after="20"/>
        <w:ind w:left="259" w:hanging="259"/>
        <w:jc w:val="both"/>
      </w:pPr>
      <w:r>
        <w:rPr>
          <w:rFonts w:ascii="Times New Roman" w:hAnsi="Times New Roman"/>
          <w:sz w:val="16"/>
        </w:rPr>
        <w:t>[2] O. K. Sahingoz, E. Buber, O. Demir, and B. Diri, "Machine learning based phishing detection from URLs," Expert Systems with Applications, vol. 117, pp. 345–357, 2019.</w:t>
      </w:r>
    </w:p>
    <w:p>
      <w:pPr>
        <w:spacing w:before="0" w:after="20"/>
        <w:ind w:left="259" w:hanging="259"/>
        <w:jc w:val="both"/>
      </w:pPr>
      <w:r>
        <w:rPr>
          <w:rFonts w:ascii="Times New Roman" w:hAnsi="Times New Roman"/>
          <w:sz w:val="16"/>
        </w:rPr>
        <w:t>[3] R. S. Rao and A. R. Pais, "Detection of phishing websites using an efficient feature-based machine learning framework," Neural Computing and Applications, vol. 31, pp. 3851–3873, 2019.</w:t>
      </w:r>
    </w:p>
    <w:p>
      <w:pPr>
        <w:spacing w:before="0" w:after="20"/>
        <w:ind w:left="259" w:hanging="259"/>
        <w:jc w:val="both"/>
      </w:pPr>
      <w:r>
        <w:rPr>
          <w:rFonts w:ascii="Times New Roman" w:hAnsi="Times New Roman"/>
          <w:sz w:val="16"/>
        </w:rPr>
        <w:t>[4] H. Le, Q. Pham, D. Sahoo, and S. C. Hoi, "URLNet: Learning a URL representation with deep learning for malicious URL detection," arXiv preprint arXiv:1802.03162, 2020.</w:t>
      </w:r>
    </w:p>
    <w:p>
      <w:pPr>
        <w:spacing w:before="0" w:after="20"/>
        <w:ind w:left="259" w:hanging="259"/>
        <w:jc w:val="both"/>
      </w:pPr>
      <w:r>
        <w:rPr>
          <w:rFonts w:ascii="Times New Roman" w:hAnsi="Times New Roman"/>
          <w:sz w:val="16"/>
        </w:rPr>
        <w:t>[5] A. C. Bahnsen, E. C. Bohorquez, S. Villegas, J. Vargas, and F. A. Gonzalez, "Classifying phishing URLs using recurrent neural networks," in Proc. IEEE Symp. Electronic Crimes Research, 2020.</w:t>
      </w:r>
    </w:p>
    <w:p>
      <w:pPr>
        <w:spacing w:before="0" w:after="20"/>
        <w:ind w:left="259" w:hanging="259"/>
        <w:jc w:val="both"/>
      </w:pPr>
      <w:r>
        <w:rPr>
          <w:rFonts w:ascii="Times New Roman" w:hAnsi="Times New Roman"/>
          <w:sz w:val="16"/>
        </w:rPr>
        <w:t>[6] W. Wei, Q. Ke, J. Nowak, M. Korytkowski, R. Scherer, and M. Wozniak, "Accurate and fast URL phishing detector: A convolutional neural network approach," Computer Networks, vol. 178, 2021.</w:t>
      </w:r>
    </w:p>
    <w:p>
      <w:pPr>
        <w:spacing w:before="0" w:after="20"/>
        <w:ind w:left="259" w:hanging="259"/>
        <w:jc w:val="both"/>
      </w:pPr>
      <w:r>
        <w:rPr>
          <w:rFonts w:ascii="Times New Roman" w:hAnsi="Times New Roman"/>
          <w:sz w:val="16"/>
        </w:rPr>
        <w:t>[7] L. Tang and Q. H. Mahmoud, "A survey of machine learning-based solutions for phishing website detection," Machine Learning and Knowledge Extraction, vol. 3, pp. 672–694, 2021.</w:t>
      </w:r>
    </w:p>
    <w:p>
      <w:pPr>
        <w:spacing w:before="0" w:after="20"/>
        <w:ind w:left="259" w:hanging="259"/>
        <w:jc w:val="both"/>
      </w:pPr>
      <w:r>
        <w:rPr>
          <w:rFonts w:ascii="Times New Roman" w:hAnsi="Times New Roman"/>
          <w:sz w:val="16"/>
        </w:rPr>
        <w:t>[8] APWG, "Phishing Activity Trends Report," Anti-Phishing Working Group, Tech. Rep., 2024.</w:t>
      </w:r>
    </w:p>
    <w:p>
      <w:pPr>
        <w:spacing w:before="0" w:after="20"/>
        <w:ind w:left="259" w:hanging="259"/>
        <w:jc w:val="both"/>
      </w:pPr>
      <w:r>
        <w:rPr>
          <w:rFonts w:ascii="Times New Roman" w:hAnsi="Times New Roman"/>
          <w:sz w:val="16"/>
        </w:rPr>
        <w:t>[9] S. Bell and P. Komisarczuk, "An analysis of phishing blacklists: Google Safe Browsing, OpenPhish, and PhishTank," in Proc. Australasian Computer Science Week, 2020.</w:t>
      </w:r>
    </w:p>
    <w:p>
      <w:pPr>
        <w:spacing w:before="0" w:after="20"/>
        <w:ind w:left="259" w:hanging="259"/>
        <w:jc w:val="both"/>
      </w:pPr>
      <w:r>
        <w:rPr>
          <w:rFonts w:ascii="Times New Roman" w:hAnsi="Times New Roman"/>
          <w:sz w:val="16"/>
        </w:rPr>
        <w:t>[10] M. Khonji, Y. Iraqi, and A. Jones, "Phishing detection: A literature survey," IEEE Communications Surveys &amp; Tutorials, vol. 15, no. 4, pp. 2091–2121, 2013.</w:t>
      </w:r>
    </w:p>
    <w:sectPr w:rsidR="00FC693F" w:rsidRPr="0006063C" w:rsidSect="00034616">
      <w:type w:val="continuous"/>
      <w:pgSz w:w="12240" w:h="15840"/>
      <w:pgMar w:top="1080" w:right="900" w:bottom="1440" w:left="900" w:header="720" w:footer="720" w:gutter="0"/>
      <w:cols w:space="720"/>
      <w:docGrid w:linePitch="360"/>
      <w:cols w:num="2" w:space="72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