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Claw Word fixture</w:t>
      </w:r>
    </w:p>
    <w:p>
      <w:r>
        <w:t xml:space="preserve">This document verifies the offline DOCX renderer. </w:t>
      </w:r>
      <w:r>
        <w:rPr>
          <w:b/>
        </w:rPr>
        <w:t xml:space="preserve">Bold text. </w:t>
      </w:r>
      <w:r>
        <w:rPr>
          <w:i/>
        </w:rPr>
        <w:t>Italic text.</w:t>
      </w:r>
    </w:p>
    <w:p>
      <w:r>
        <w:t>Unicode: नमस्ते दुनिया / Café — मस्तिष्क 🧠 — مرحبا</w:t>
      </w:r>
    </w:p>
    <w:p>
      <w:pPr>
        <w:pStyle w:val="Heading1"/>
      </w:pPr>
      <w:r>
        <w:t>Section 1</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Relationships xmlns="http://schemas.openxmlformats.org/package/2006/relationships"><Relationship Id="rIdExt" Type="http://schemas.openxmlformats.org/officeDocument/2006/relationships/hyperlink" Target="https://example.invalid/pay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Claw Office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