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Pr>
        <w:t>PROJECT REPORT</w:t>
        <w:br/>
      </w:r>
      <w:r>
        <w:rPr>
          <w:b/>
          <w:color w:val="2563EB"/>
          <w:sz w:val="28"/>
        </w:rPr>
        <w:t>AI-POWERED GEOSPATIAL BUSINESS LOCATION RECOMMENDATION &amp; EMPTY LAND VIABILITY ANALYSIS SYSTEM</w:t>
        <w:br/>
      </w:r>
      <w:r>
        <w:rPr>
          <w:i/>
          <w:color w:val="64748B"/>
          <w:sz w:val="26"/>
        </w:rPr>
        <w:t>(Geo_business_AI)</w:t>
        <w:br/>
        <w:br/>
      </w:r>
    </w:p>
    <w:p>
      <w:pPr>
        <w:jc w:val="center"/>
      </w:pPr>
      <w:r>
        <w:t>―――――――――――――――――――――――――――――――――――――――――――――</w:t>
      </w:r>
    </w:p>
    <w:p>
      <w:pPr>
        <w:pStyle w:val="Heading1"/>
        <w:jc w:val="left"/>
      </w:pPr>
      <w:r>
        <w:rPr>
          <w:color w:val="0F172A"/>
        </w:rPr>
        <w:t>TABLE OF CONTENTS</w:t>
      </w:r>
    </w:p>
    <w:p>
      <w:pPr>
        <w:spacing w:line="276" w:lineRule="auto" w:after="40"/>
      </w:pPr>
      <w:r>
        <w:rPr>
          <w:b/>
        </w:rPr>
        <w:t>Abstract</w:t>
      </w:r>
      <w:r>
        <w:rPr>
          <w:color w:val="B4B4B4"/>
        </w:rPr>
        <w:t xml:space="preserve"> .............................................................. </w:t>
      </w:r>
      <w:r>
        <w:rPr>
          <w:b/>
        </w:rPr>
        <w:t>3</w:t>
      </w:r>
    </w:p>
    <w:p>
      <w:pPr>
        <w:spacing w:line="276" w:lineRule="auto" w:after="40"/>
      </w:pPr>
      <w:r>
        <w:rPr>
          <w:b/>
        </w:rPr>
        <w:t>Chapter 1: Introduction</w:t>
      </w:r>
      <w:r>
        <w:rPr>
          <w:color w:val="B4B4B4"/>
        </w:rPr>
        <w:t xml:space="preserve"> ............................................... </w:t>
      </w:r>
      <w:r>
        <w:rPr>
          <w:b/>
        </w:rPr>
        <w:t>4</w:t>
      </w:r>
    </w:p>
    <w:p>
      <w:pPr>
        <w:spacing w:line="276" w:lineRule="auto" w:after="40"/>
      </w:pPr>
      <w:r>
        <w:t xml:space="preserve">   1.1 Background &amp; Motivation</w:t>
      </w:r>
      <w:r>
        <w:rPr>
          <w:color w:val="B4B4B4"/>
        </w:rPr>
        <w:t xml:space="preserve"> ........................................ </w:t>
      </w:r>
      <w:r>
        <w:rPr>
          <w:b/>
        </w:rPr>
        <w:t>4</w:t>
      </w:r>
    </w:p>
    <w:p>
      <w:pPr>
        <w:spacing w:line="276" w:lineRule="auto" w:after="40"/>
      </w:pPr>
      <w:r>
        <w:t xml:space="preserve">   1.2 Problem Statement</w:t>
      </w:r>
      <w:r>
        <w:rPr>
          <w:color w:val="B4B4B4"/>
        </w:rPr>
        <w:t xml:space="preserve"> .............................................. </w:t>
      </w:r>
      <w:r>
        <w:rPr>
          <w:b/>
        </w:rPr>
        <w:t>4</w:t>
      </w:r>
    </w:p>
    <w:p>
      <w:pPr>
        <w:spacing w:line="276" w:lineRule="auto" w:after="40"/>
      </w:pPr>
      <w:r>
        <w:t xml:space="preserve">   1.3 Objectives of the Project</w:t>
      </w:r>
      <w:r>
        <w:rPr>
          <w:color w:val="B4B4B4"/>
        </w:rPr>
        <w:t xml:space="preserve"> ...................................... </w:t>
      </w:r>
      <w:r>
        <w:rPr>
          <w:b/>
        </w:rPr>
        <w:t>5</w:t>
      </w:r>
    </w:p>
    <w:p>
      <w:pPr>
        <w:spacing w:line="276" w:lineRule="auto" w:after="40"/>
      </w:pPr>
      <w:r>
        <w:t xml:space="preserve">   1.4 Scope of the Project</w:t>
      </w:r>
      <w:r>
        <w:rPr>
          <w:color w:val="B4B4B4"/>
        </w:rPr>
        <w:t xml:space="preserve"> ........................................... </w:t>
      </w:r>
      <w:r>
        <w:rPr>
          <w:b/>
        </w:rPr>
        <w:t>5</w:t>
      </w:r>
    </w:p>
    <w:p>
      <w:pPr>
        <w:spacing w:line="276" w:lineRule="auto" w:after="40"/>
      </w:pPr>
      <w:r>
        <w:t xml:space="preserve">   1.5 Significance &amp; Industrial Relevance</w:t>
      </w:r>
      <w:r>
        <w:rPr>
          <w:color w:val="B4B4B4"/>
        </w:rPr>
        <w:t xml:space="preserve"> ............................ </w:t>
      </w:r>
      <w:r>
        <w:rPr>
          <w:b/>
        </w:rPr>
        <w:t>6</w:t>
      </w:r>
    </w:p>
    <w:p>
      <w:pPr>
        <w:spacing w:line="276" w:lineRule="auto" w:after="40"/>
      </w:pPr>
      <w:r>
        <w:t xml:space="preserve">   1.6 Organization of the Report</w:t>
      </w:r>
      <w:r>
        <w:rPr>
          <w:color w:val="B4B4B4"/>
        </w:rPr>
        <w:t xml:space="preserve"> ..................................... </w:t>
      </w:r>
      <w:r>
        <w:rPr>
          <w:b/>
        </w:rPr>
        <w:t>6</w:t>
      </w:r>
    </w:p>
    <w:p>
      <w:pPr>
        <w:spacing w:line="276" w:lineRule="auto" w:after="40"/>
      </w:pPr>
      <w:r>
        <w:rPr>
          <w:b/>
        </w:rPr>
        <w:t>Chapter 2: Literature Review</w:t>
      </w:r>
      <w:r>
        <w:rPr>
          <w:color w:val="B4B4B4"/>
        </w:rPr>
        <w:t xml:space="preserve"> .......................................... </w:t>
      </w:r>
      <w:r>
        <w:rPr>
          <w:b/>
        </w:rPr>
        <w:t>7</w:t>
      </w:r>
    </w:p>
    <w:p>
      <w:pPr>
        <w:spacing w:line="276" w:lineRule="auto" w:after="40"/>
      </w:pPr>
      <w:r>
        <w:t xml:space="preserve">   2.1 Overview of Geospatial Business Intelligence</w:t>
      </w:r>
      <w:r>
        <w:rPr>
          <w:color w:val="B4B4B4"/>
        </w:rPr>
        <w:t xml:space="preserve"> ................... </w:t>
      </w:r>
      <w:r>
        <w:rPr>
          <w:b/>
        </w:rPr>
        <w:t>7</w:t>
      </w:r>
    </w:p>
    <w:p>
      <w:pPr>
        <w:spacing w:line="276" w:lineRule="auto" w:after="40"/>
      </w:pPr>
      <w:r>
        <w:t xml:space="preserve">   2.2 Classical Location Theory &amp; Gravity Models</w:t>
      </w:r>
      <w:r>
        <w:rPr>
          <w:color w:val="B4B4B4"/>
        </w:rPr>
        <w:t xml:space="preserve"> ..................... </w:t>
      </w:r>
      <w:r>
        <w:rPr>
          <w:b/>
        </w:rPr>
        <w:t>7</w:t>
      </w:r>
    </w:p>
    <w:p>
      <w:pPr>
        <w:spacing w:line="276" w:lineRule="auto" w:after="40"/>
      </w:pPr>
      <w:r>
        <w:t xml:space="preserve">   2.3 Machine Learning &amp; Spatial Data Mining</w:t>
      </w:r>
      <w:r>
        <w:rPr>
          <w:color w:val="B4B4B4"/>
        </w:rPr>
        <w:t xml:space="preserve"> ......................... </w:t>
      </w:r>
      <w:r>
        <w:rPr>
          <w:b/>
        </w:rPr>
        <w:t>8</w:t>
      </w:r>
    </w:p>
    <w:p>
      <w:pPr>
        <w:spacing w:line="276" w:lineRule="auto" w:after="40"/>
      </w:pPr>
      <w:r>
        <w:t xml:space="preserve">   2.4 Demographic &amp; High-Resolution Population Modeling</w:t>
      </w:r>
      <w:r>
        <w:rPr>
          <w:color w:val="B4B4B4"/>
        </w:rPr>
        <w:t xml:space="preserve"> .............. </w:t>
      </w:r>
      <w:r>
        <w:rPr>
          <w:b/>
        </w:rPr>
        <w:t>8</w:t>
      </w:r>
    </w:p>
    <w:p>
      <w:pPr>
        <w:spacing w:line="276" w:lineRule="auto" w:after="40"/>
      </w:pPr>
      <w:r>
        <w:t xml:space="preserve">   2.5 Explainable AI (XAI) in Spatial Decision Support</w:t>
      </w:r>
      <w:r>
        <w:rPr>
          <w:color w:val="B4B4B4"/>
        </w:rPr>
        <w:t xml:space="preserve"> ............... </w:t>
      </w:r>
      <w:r>
        <w:rPr>
          <w:b/>
        </w:rPr>
        <w:t>9</w:t>
      </w:r>
    </w:p>
    <w:p>
      <w:pPr>
        <w:spacing w:line="276" w:lineRule="auto" w:after="40"/>
      </w:pPr>
      <w:r>
        <w:t xml:space="preserve">   2.6 Summary of Literature &amp; Research Gap</w:t>
      </w:r>
      <w:r>
        <w:rPr>
          <w:color w:val="B4B4B4"/>
        </w:rPr>
        <w:t xml:space="preserve"> ........................... </w:t>
      </w:r>
      <w:r>
        <w:rPr>
          <w:b/>
        </w:rPr>
        <w:t>9</w:t>
      </w:r>
    </w:p>
    <w:p>
      <w:pPr>
        <w:spacing w:line="276" w:lineRule="auto" w:after="40"/>
      </w:pPr>
      <w:r>
        <w:t xml:space="preserve">   2.7 Literature Review Reference Citations</w:t>
      </w:r>
      <w:r>
        <w:rPr>
          <w:color w:val="B4B4B4"/>
        </w:rPr>
        <w:t xml:space="preserve"> .......................... </w:t>
      </w:r>
      <w:r>
        <w:rPr>
          <w:b/>
        </w:rPr>
        <w:t>10</w:t>
      </w:r>
    </w:p>
    <w:p>
      <w:pPr>
        <w:spacing w:line="276" w:lineRule="auto" w:after="40"/>
      </w:pPr>
      <w:r>
        <w:rPr>
          <w:b/>
        </w:rPr>
        <w:t>Chapter 3: Methodology</w:t>
      </w:r>
      <w:r>
        <w:rPr>
          <w:color w:val="B4B4B4"/>
        </w:rPr>
        <w:t xml:space="preserve"> ................................................ </w:t>
      </w:r>
      <w:r>
        <w:rPr>
          <w:b/>
        </w:rPr>
        <w:t>11</w:t>
      </w:r>
    </w:p>
    <w:p>
      <w:pPr>
        <w:spacing w:line="276" w:lineRule="auto" w:after="40"/>
      </w:pPr>
      <w:r>
        <w:t xml:space="preserve">   3.1 Overview &amp; System Framework</w:t>
      </w:r>
      <w:r>
        <w:rPr>
          <w:color w:val="B4B4B4"/>
        </w:rPr>
        <w:t xml:space="preserve"> .................................... </w:t>
      </w:r>
      <w:r>
        <w:rPr>
          <w:b/>
        </w:rPr>
        <w:t>11</w:t>
      </w:r>
    </w:p>
    <w:p>
      <w:pPr>
        <w:spacing w:line="276" w:lineRule="auto" w:after="40"/>
      </w:pPr>
      <w:r>
        <w:t xml:space="preserve">   3.2 System Architecture</w:t>
      </w:r>
      <w:r>
        <w:rPr>
          <w:color w:val="B4B4B4"/>
        </w:rPr>
        <w:t xml:space="preserve"> ............................................ </w:t>
      </w:r>
      <w:r>
        <w:rPr>
          <w:b/>
        </w:rPr>
        <w:t>11</w:t>
      </w:r>
    </w:p>
    <w:p>
      <w:pPr>
        <w:spacing w:line="276" w:lineRule="auto" w:after="40"/>
      </w:pPr>
      <w:r>
        <w:t xml:space="preserve">   3.3 Data Acquisition &amp; Geospatial Pipelines</w:t>
      </w:r>
      <w:r>
        <w:rPr>
          <w:color w:val="B4B4B4"/>
        </w:rPr>
        <w:t xml:space="preserve"> ........................ </w:t>
      </w:r>
      <w:r>
        <w:rPr>
          <w:b/>
        </w:rPr>
        <w:t>12</w:t>
      </w:r>
    </w:p>
    <w:p>
      <w:pPr>
        <w:spacing w:line="276" w:lineRule="auto" w:after="40"/>
      </w:pPr>
      <w:r>
        <w:t xml:space="preserve">   3.4 Spatial Feature Engineering Engine</w:t>
      </w:r>
      <w:r>
        <w:rPr>
          <w:color w:val="B4B4B4"/>
        </w:rPr>
        <w:t xml:space="preserve"> ............................. </w:t>
      </w:r>
      <w:r>
        <w:rPr>
          <w:b/>
        </w:rPr>
        <w:t>13</w:t>
      </w:r>
    </w:p>
    <w:p>
      <w:pPr>
        <w:spacing w:line="276" w:lineRule="auto" w:after="40"/>
      </w:pPr>
      <w:r>
        <w:t xml:space="preserve">   3.5 Machine Learning Pipeline &amp; Suitability Modeling</w:t>
      </w:r>
      <w:r>
        <w:rPr>
          <w:color w:val="B4B4B4"/>
        </w:rPr>
        <w:t xml:space="preserve"> ............... </w:t>
      </w:r>
      <w:r>
        <w:rPr>
          <w:b/>
        </w:rPr>
        <w:t>14</w:t>
      </w:r>
    </w:p>
    <w:p>
      <w:pPr>
        <w:spacing w:line="276" w:lineRule="auto" w:after="40"/>
      </w:pPr>
      <w:r>
        <w:t xml:space="preserve">   3.6 Explainable Artificial Intelligence (XAI) Module</w:t>
      </w:r>
      <w:r>
        <w:rPr>
          <w:color w:val="B4B4B4"/>
        </w:rPr>
        <w:t xml:space="preserve"> ............... </w:t>
      </w:r>
      <w:r>
        <w:rPr>
          <w:b/>
        </w:rPr>
        <w:t>15</w:t>
      </w:r>
    </w:p>
    <w:p>
      <w:pPr>
        <w:spacing w:line="276" w:lineRule="auto" w:after="40"/>
      </w:pPr>
      <w:r>
        <w:t xml:space="preserve">   3.7 Backend API Service Architecture (FastAPI)</w:t>
      </w:r>
      <w:r>
        <w:rPr>
          <w:color w:val="B4B4B4"/>
        </w:rPr>
        <w:t xml:space="preserve"> ..................... </w:t>
      </w:r>
      <w:r>
        <w:rPr>
          <w:b/>
        </w:rPr>
        <w:t>16</w:t>
      </w:r>
    </w:p>
    <w:p>
      <w:pPr>
        <w:spacing w:line="276" w:lineRule="auto" w:after="40"/>
      </w:pPr>
      <w:r>
        <w:t xml:space="preserve">   3.8 Frontend Geospatial Dashboard Architecture</w:t>
      </w:r>
      <w:r>
        <w:rPr>
          <w:color w:val="B4B4B4"/>
        </w:rPr>
        <w:t xml:space="preserve"> ..................... </w:t>
      </w:r>
      <w:r>
        <w:rPr>
          <w:b/>
        </w:rPr>
        <w:t>17</w:t>
      </w:r>
    </w:p>
    <w:p>
      <w:pPr>
        <w:spacing w:line="276" w:lineRule="auto" w:after="40"/>
      </w:pPr>
      <w:r>
        <w:t xml:space="preserve">   3.9 Caching, Latency Optimization &amp; Rate Limit Protection</w:t>
      </w:r>
      <w:r>
        <w:rPr>
          <w:color w:val="B4B4B4"/>
        </w:rPr>
        <w:t xml:space="preserve"> .......... </w:t>
      </w:r>
      <w:r>
        <w:rPr>
          <w:b/>
        </w:rPr>
        <w:t>18</w:t>
      </w:r>
    </w:p>
    <w:p>
      <w:pPr>
        <w:spacing w:line="276" w:lineRule="auto" w:after="40"/>
      </w:pPr>
      <w:r>
        <w:rPr>
          <w:b/>
        </w:rPr>
        <w:t>Chapter 4: Results and Discussion</w:t>
      </w:r>
      <w:r>
        <w:rPr>
          <w:color w:val="B4B4B4"/>
        </w:rPr>
        <w:t xml:space="preserve"> ..................................... </w:t>
      </w:r>
      <w:r>
        <w:rPr>
          <w:b/>
        </w:rPr>
        <w:t>19</w:t>
      </w:r>
    </w:p>
    <w:p>
      <w:pPr>
        <w:spacing w:line="276" w:lineRule="auto" w:after="40"/>
      </w:pPr>
      <w:r>
        <w:t xml:space="preserve">   4.1 System Implementation &amp; Deployment</w:t>
      </w:r>
      <w:r>
        <w:rPr>
          <w:color w:val="B4B4B4"/>
        </w:rPr>
        <w:t xml:space="preserve"> ............................. </w:t>
      </w:r>
      <w:r>
        <w:rPr>
          <w:b/>
        </w:rPr>
        <w:t>19</w:t>
      </w:r>
    </w:p>
    <w:p>
      <w:pPr>
        <w:spacing w:line="276" w:lineRule="auto" w:after="40"/>
      </w:pPr>
      <w:r>
        <w:t xml:space="preserve">   4.2 Experimental Setup &amp; Testing Environment</w:t>
      </w:r>
      <w:r>
        <w:rPr>
          <w:color w:val="B4B4B4"/>
        </w:rPr>
        <w:t xml:space="preserve"> ....................... </w:t>
      </w:r>
      <w:r>
        <w:rPr>
          <w:b/>
        </w:rPr>
        <w:t>19</w:t>
      </w:r>
    </w:p>
    <w:p>
      <w:pPr>
        <w:spacing w:line="276" w:lineRule="auto" w:after="40"/>
      </w:pPr>
      <w:r>
        <w:t xml:space="preserve">   4.3 Machine Learning Model Performance &amp; Benchmark Metrics</w:t>
      </w:r>
      <w:r>
        <w:rPr>
          <w:color w:val="B4B4B4"/>
        </w:rPr>
        <w:t xml:space="preserve"> ......... </w:t>
      </w:r>
      <w:r>
        <w:rPr>
          <w:b/>
        </w:rPr>
        <w:t>20</w:t>
      </w:r>
    </w:p>
    <w:p>
      <w:pPr>
        <w:spacing w:line="276" w:lineRule="auto" w:after="40"/>
      </w:pPr>
      <w:r>
        <w:t xml:space="preserve">   4.4 Spatial Feature Importance &amp; SHAP Interpretability Analysis</w:t>
      </w:r>
      <w:r>
        <w:rPr>
          <w:color w:val="B4B4B4"/>
        </w:rPr>
        <w:t xml:space="preserve"> ..... </w:t>
      </w:r>
      <w:r>
        <w:rPr>
          <w:b/>
        </w:rPr>
        <w:t>21</w:t>
      </w:r>
    </w:p>
    <w:p>
      <w:pPr>
        <w:spacing w:line="276" w:lineRule="auto" w:after="40"/>
      </w:pPr>
      <w:r>
        <w:t xml:space="preserve">   4.5 Case Studies &amp; Location Recommendations</w:t>
      </w:r>
      <w:r>
        <w:rPr>
          <w:color w:val="B4B4B4"/>
        </w:rPr>
        <w:t xml:space="preserve"> ........................ </w:t>
      </w:r>
      <w:r>
        <w:rPr>
          <w:b/>
        </w:rPr>
        <w:t>22</w:t>
      </w:r>
    </w:p>
    <w:p>
      <w:pPr>
        <w:spacing w:line="276" w:lineRule="auto" w:after="40"/>
      </w:pPr>
      <w:r>
        <w:t xml:space="preserve">   4.6 System Latency &amp; Scalability Evaluation</w:t>
      </w:r>
      <w:r>
        <w:rPr>
          <w:color w:val="B4B4B4"/>
        </w:rPr>
        <w:t xml:space="preserve"> ........................ </w:t>
      </w:r>
      <w:r>
        <w:rPr>
          <w:b/>
        </w:rPr>
        <w:t>23</w:t>
      </w:r>
    </w:p>
    <w:p>
      <w:pPr>
        <w:spacing w:line="276" w:lineRule="auto" w:after="40"/>
      </w:pPr>
      <w:r>
        <w:t xml:space="preserve">   4.7 Limitations</w:t>
      </w:r>
      <w:r>
        <w:rPr>
          <w:color w:val="B4B4B4"/>
        </w:rPr>
        <w:t xml:space="preserve"> .................................................... </w:t>
      </w:r>
      <w:r>
        <w:rPr>
          <w:b/>
        </w:rPr>
        <w:t>24</w:t>
      </w:r>
    </w:p>
    <w:p>
      <w:pPr>
        <w:spacing w:line="276" w:lineRule="auto" w:after="40"/>
      </w:pPr>
      <w:r>
        <w:t xml:space="preserve">   4.8 Future Enhancements</w:t>
      </w:r>
      <w:r>
        <w:rPr>
          <w:color w:val="B4B4B4"/>
        </w:rPr>
        <w:t xml:space="preserve"> ............................................ </w:t>
      </w:r>
      <w:r>
        <w:rPr>
          <w:b/>
        </w:rPr>
        <w:t>24</w:t>
      </w:r>
    </w:p>
    <w:p>
      <w:pPr>
        <w:spacing w:line="276" w:lineRule="auto" w:after="40"/>
      </w:pPr>
      <w:r>
        <w:rPr>
          <w:b/>
        </w:rPr>
        <w:t>Chapter 5: Conclusion</w:t>
      </w:r>
      <w:r>
        <w:rPr>
          <w:color w:val="B4B4B4"/>
        </w:rPr>
        <w:t xml:space="preserve"> ................................................. </w:t>
      </w:r>
      <w:r>
        <w:rPr>
          <w:b/>
        </w:rPr>
        <w:t>25</w:t>
      </w:r>
    </w:p>
    <w:p>
      <w:pPr>
        <w:spacing w:line="276" w:lineRule="auto" w:after="40"/>
      </w:pPr>
      <w:r>
        <w:t xml:space="preserve">   5.1 Summary of Findings</w:t>
      </w:r>
      <w:r>
        <w:rPr>
          <w:color w:val="B4B4B4"/>
        </w:rPr>
        <w:t xml:space="preserve"> ............................................ </w:t>
      </w:r>
      <w:r>
        <w:rPr>
          <w:b/>
        </w:rPr>
        <w:t>25</w:t>
      </w:r>
    </w:p>
    <w:p>
      <w:pPr>
        <w:spacing w:line="276" w:lineRule="auto" w:after="40"/>
      </w:pPr>
      <w:r>
        <w:t xml:space="preserve">   5.2 Key Contributions</w:t>
      </w:r>
      <w:r>
        <w:rPr>
          <w:color w:val="B4B4B4"/>
        </w:rPr>
        <w:t xml:space="preserve"> .............................................. </w:t>
      </w:r>
      <w:r>
        <w:rPr>
          <w:b/>
        </w:rPr>
        <w:t>25</w:t>
      </w:r>
    </w:p>
    <w:p>
      <w:pPr>
        <w:spacing w:line="276" w:lineRule="auto" w:after="40"/>
      </w:pPr>
      <w:r>
        <w:t xml:space="preserve">   5.3 Concluding Remarks</w:t>
      </w:r>
      <w:r>
        <w:rPr>
          <w:color w:val="B4B4B4"/>
        </w:rPr>
        <w:t xml:space="preserve"> ............................................. </w:t>
      </w:r>
      <w:r>
        <w:rPr>
          <w:b/>
        </w:rPr>
        <w:t>26</w:t>
      </w:r>
    </w:p>
    <w:p>
      <w:pPr>
        <w:spacing w:line="276" w:lineRule="auto" w:after="40"/>
      </w:pPr>
      <w:r>
        <w:rPr>
          <w:b/>
        </w:rPr>
        <w:t>References (20 References Alphabetically Ordered)</w:t>
      </w:r>
      <w:r>
        <w:rPr>
          <w:color w:val="B4B4B4"/>
        </w:rPr>
        <w:t xml:space="preserve"> ..................... </w:t>
      </w:r>
      <w:r>
        <w:rPr>
          <w:b/>
        </w:rPr>
        <w:t>27</w:t>
      </w:r>
    </w:p>
    <w:p>
      <w:pPr>
        <w:spacing w:line="276" w:lineRule="auto" w:after="40"/>
      </w:pPr>
      <w:r>
        <w:rPr>
          <w:b/>
        </w:rPr>
        <w:t>Appendix 1: System User Interface &amp; Screen Descriptions</w:t>
      </w:r>
      <w:r>
        <w:rPr>
          <w:color w:val="B4B4B4"/>
        </w:rPr>
        <w:t xml:space="preserve"> ............... </w:t>
      </w:r>
      <w:r>
        <w:rPr>
          <w:b/>
        </w:rPr>
        <w:t>30</w:t>
      </w:r>
    </w:p>
    <w:p>
      <w:pPr>
        <w:spacing w:line="276" w:lineRule="auto" w:after="40"/>
      </w:pPr>
      <w:r>
        <w:rPr>
          <w:b/>
        </w:rPr>
        <w:t>Appendix 2: Sample Core Implementation Code</w:t>
      </w:r>
      <w:r>
        <w:rPr>
          <w:color w:val="B4B4B4"/>
        </w:rPr>
        <w:t xml:space="preserve"> ........................... </w:t>
      </w:r>
      <w:r>
        <w:rPr>
          <w:b/>
        </w:rPr>
        <w:t>32</w:t>
      </w:r>
    </w:p>
    <w:p>
      <w:r>
        <w:br w:type="page"/>
      </w:r>
    </w:p>
    <w:p>
      <w:pPr>
        <w:pStyle w:val="Heading1"/>
      </w:pPr>
      <w:r>
        <w:rPr>
          <w:color w:val="0F172A"/>
        </w:rPr>
        <w:t>ABSTRACT</w:t>
      </w:r>
    </w:p>
    <w:p>
      <w:pPr>
        <w:spacing w:line="300" w:lineRule="auto" w:after="160"/>
      </w:pPr>
      <w:r>
        <w:t>Selecting an optimal commercial location is one of the most critical determinants of business success, profitability, and operational sustainability. Traditional commercial site selection methodologies rely predominantly on subjective intuition, expensive manual foot-traffic surveys, or static geographic information systems (GIS) that fail to capture the dynamic interplay among competitor saturation, complementary footfall generators, transit accessibility, and hyper-local population density.</w:t>
      </w:r>
    </w:p>
    <w:p>
      <w:pPr>
        <w:spacing w:line="300" w:lineRule="auto" w:after="160"/>
      </w:pPr>
      <w:r>
        <w:t>This project presents the design, development, and evaluation of Geo_business_AI, an end-to-end intelligent geospatial decision-support platform that automates commercial location intelligence and empty land suitability scoring using machine learning, spatial data engineering, and Explainable Artificial Intelligence (XAI).</w:t>
      </w:r>
    </w:p>
    <w:p>
      <w:pPr>
        <w:spacing w:line="300" w:lineRule="auto" w:after="160"/>
      </w:pPr>
      <w:r>
        <w:t>The system integrates real-time OpenStreetMap (OSM) vector data via the Overpass API, demographic density estimations via multi-tier population heuristics and high-resolution gridded datasets, and automated parcel discovery algorithms. A specialized spatial feature engineering engine extracts high-dimensional location metrics, including direct competition density, complementary commercial synergy, multimodal transit accessibility (bus, metro, railway stations), and road connectivity. Machine learning models (Random Forest, Gradient Boosting, and Calibrated Regressors) evaluate and score candidate sites and empty parcels on a 0–100% suitability index tailored to specific commercial categories such as Cafes, Restaurants, Pharmacies, Gyms, Groceries, and Retail.</w:t>
      </w:r>
    </w:p>
    <w:p>
      <w:pPr>
        <w:spacing w:line="300" w:lineRule="auto" w:after="160"/>
      </w:pPr>
      <w:r>
        <w:t>To ensure actionable transparency for non-technical stakeholders, the platform incorporates an explainability engine that computes feature contribution weights and translates model outputs into structured, human-readable insights (pros, cons, and strategic recommendations). The user interface is engineered as an interactive React and Leaflet-based geospatial dashboard connected to a high-performance asynchronous FastAPI backend. Experimental evaluation demonstrates accurate site suitability scoring (R² &gt; 0.88 across cross-validated commercial clusters), responsive geospatial query latency under 1.8 seconds with multi-tier caching, and robust parcel discovery across urban and suburban testing zones. The resulting system bridges the gap between complex spatial data science and strategic business decision-making.</w:t>
      </w:r>
    </w:p>
    <w:p>
      <w:r>
        <w:br w:type="page"/>
      </w:r>
    </w:p>
    <w:p>
      <w:pPr>
        <w:pStyle w:val="Heading1"/>
      </w:pPr>
      <w:r>
        <w:rPr>
          <w:color w:val="0F172A"/>
        </w:rPr>
        <w:t>CHAPTER 1: INTRODUCTION</w:t>
      </w:r>
    </w:p>
    <w:p>
      <w:pPr>
        <w:pStyle w:val="Heading2"/>
      </w:pPr>
      <w:r>
        <w:t>1.1 Background &amp; Motivation</w:t>
      </w:r>
    </w:p>
    <w:p>
      <w:r>
        <w:t>In the modern competitive business landscape, geographic location remains a primary pillar dictating retail performance, customer acquisition costs, and customer footfall. According to retail economics research, site selection failure is responsible for a significant proportion of early-stage enterprise bankruptcy. Historically, business owners, retail chains, and commercial developers have relied on manual site surveys, demographic census reports aggregated at broad administrative boundaries, or costly consulting agencies.</w:t>
      </w:r>
    </w:p>
    <w:p>
      <w:r>
        <w:t>With the proliferation of open-access spatial data repositories (such as OpenStreetMap), satellite-derived demographic datasets (such as WorldPop and SEDAC), and advanced machine learning algorithms, there is an unprecedented opportunity to democratize site selection analytics. By converting raw geographic primitives (nodes, ways, and polygons) into actionable spatial features, algorithmic intelligence can objectively quantify the commercial potential of any geographic coordinate on Earth.</w:t>
      </w:r>
    </w:p>
    <w:p>
      <w:pPr>
        <w:pStyle w:val="Heading2"/>
      </w:pPr>
      <w:r>
        <w:t>1.2 Problem Statement</w:t>
      </w:r>
    </w:p>
    <w:p>
      <w:r>
        <w:t>Existing commercial site selection practices suffer from several systemic bottlenecks:</w:t>
        <w:br/>
        <w:t>1. Subjectivity &amp; Human Bias: Traditional decision-making depends heavily on subjective judgment, which frequently underestimates local competitor saturation or misjudges transit accessibility.</w:t>
        <w:br/>
        <w:t>2. Static &amp; Coarse-Grained Data: Conventional census data is aggregated over broad postal zones or census tracts, failing to capture micro-location dynamics within a 500m–1500m pedestrian catchment radius.</w:t>
        <w:br/>
        <w:t>3. Black-Box Analytics: Modern proprietary site-scoring algorithms operate as opaque 'black boxes,' failing to explain why a location is recommended or what risk factors exist.</w:t>
        <w:br/>
        <w:t>4. Neglect of Greenfield &amp; Empty Parcels: Most existing location tools only score existing commercial addresses, offering no mechanism to identify vacant or underutilized land parcels that could host new commercial developments.</w:t>
      </w:r>
    </w:p>
    <w:p>
      <w:pPr>
        <w:pStyle w:val="Heading2"/>
      </w:pPr>
      <w:r>
        <w:t>1.3 Objectives of the Project</w:t>
      </w:r>
    </w:p>
    <w:p>
      <w:r>
        <w:t>The primary objectives of this project are:</w:t>
        <w:br/>
        <w:t>• To design and implement an end-to-end AI-driven geospatial decision-support system (Geo_business_AI) for automated business location suitability scoring.</w:t>
        <w:br/>
        <w:t>• To develop an automated spatial feature extraction engine capable of calculating competition density, complementary synergy, transit accessibility, and population metrics in real time.</w:t>
        <w:br/>
        <w:t>• To formulate an empty land parcel detection and ranking algorithm that discovers vacant or undeveloped land parcels within a user-defined catchment radius.</w:t>
        <w:br/>
        <w:t>• To train, calibrate, and validate machine learning models tailored to various commercial categories (e.g., Cafes, Restaurants, Pharmacies, Gyms, Retail).</w:t>
        <w:br/>
        <w:t>• To engineer an Explainable AI (XAI) module that translates multi-dimensional spatial features into clear, human-interpretable pros, cons, and strategic advice.</w:t>
        <w:br/>
        <w:t>• To construct a responsive, interactive web application featuring dynamic mapping, radius tuning, instant visual scoring, and comprehensive parcel breakdowns.</w:t>
      </w:r>
    </w:p>
    <w:p>
      <w:pPr>
        <w:pStyle w:val="Heading2"/>
      </w:pPr>
      <w:r>
        <w:t>1.4 Scope of the Project</w:t>
      </w:r>
    </w:p>
    <w:p>
      <w:r>
        <w:t>This project focuses on developing a web-based geospatial intelligent decision-support system. The scope encompasses:</w:t>
        <w:br/>
        <w:t>• Global coordinate search and geocoding powered by OpenStreetMap Nominatim.</w:t>
        <w:br/>
        <w:t>• Automated spatial feature extraction across 500m to 3000m catchment radii.</w:t>
        <w:br/>
        <w:t>• Real-time POI classification into direct competitors and complementary categories.</w:t>
        <w:br/>
        <w:t>• Multi-tier demographic estimation with local caching to handle API rate limiting.</w:t>
        <w:br/>
        <w:t>• Identification and suitability assessment of vacant/empty land parcels.</w:t>
        <w:br/>
        <w:t>• High-performance asynchronous backend API using FastAPI and Python 3.13.</w:t>
        <w:br/>
        <w:t>• Modern frontend dashboard implemented using React 19, TypeScript, Leaflet, and Tailwind CSS.</w:t>
        <w:br/>
        <w:t>• Automated caching of spatial queries and demographic responses to optimize latency.</w:t>
      </w:r>
    </w:p>
    <w:p>
      <w:pPr>
        <w:pStyle w:val="Heading2"/>
      </w:pPr>
      <w:r>
        <w:t>1.5 Significance &amp; Industrial Relevance</w:t>
      </w:r>
    </w:p>
    <w:p>
      <w:r>
        <w:t>The proposed Geo_business_AI platform offers transformative value across multiple commercial domains:</w:t>
        <w:br/>
        <w:t>• Small and Medium Enterprises (SMEs): Empowers independent entrepreneurs to conduct enterprise-grade site selection analysis without prohibitive consulting fees.</w:t>
        <w:br/>
        <w:t>• Commercial Real Estate Developers: Facilitates rapid screening of vacant land parcels for targeted commercial zoning and tenant acquisition.</w:t>
        <w:br/>
        <w:t>• Franchise Chains &amp; Retail Operators: Provides a systematic, reproducible methodology to evaluate market expansion, cannibalization risks, and underserved territory gaps.</w:t>
        <w:br/>
        <w:t>• Academic &amp; Urban Planning Research: Demonstrates the practical convergence of Open Data, Spatial Data Science, and Interpretable Machine Learning.</w:t>
      </w:r>
    </w:p>
    <w:p>
      <w:pPr>
        <w:pStyle w:val="Heading2"/>
      </w:pPr>
      <w:r>
        <w:t>1.6 Organization of the Report</w:t>
      </w:r>
    </w:p>
    <w:p>
      <w:r>
        <w:t>This report is structured as follows: Chapter 2 presents an in-depth Literature Review of geospatial intelligence, retail gravity models, machine learning, and XAI. Chapter 3 details the comprehensive Methodology and system architecture. Chapter 4 provides the Results and Discussion with empirical benchmarks and case studies. Chapter 5 concludes the report with future directions. Complete references, UI documentation, and source code are included in the Appendices.</w:t>
      </w:r>
    </w:p>
    <w:p>
      <w:r>
        <w:br w:type="page"/>
      </w:r>
    </w:p>
    <w:p>
      <w:pPr>
        <w:pStyle w:val="Heading1"/>
      </w:pPr>
      <w:r>
        <w:rPr>
          <w:color w:val="0F172A"/>
        </w:rPr>
        <w:t>CHAPTER 2: LITERATURE REVIEW</w:t>
      </w:r>
    </w:p>
    <w:p>
      <w:r>
        <w:t>This chapter reviews relevant academic literature and technological foundations governing geospatial business intelligence, spatial interaction modeling, high-resolution demographics, machine learning in GIS, and explainable artificial intelligence.</w:t>
      </w:r>
    </w:p>
    <w:p>
      <w:pPr>
        <w:pStyle w:val="Heading2"/>
      </w:pPr>
      <w:r>
        <w:t>2.1 Overview of Geospatial Business Intelligence</w:t>
      </w:r>
    </w:p>
    <w:p>
      <w:r>
        <w:t>Geospatial business intelligence (Geo-BI) merges spatial analysis with data mining to enhance strategic decision-making. The spatial distribution of commercial activities is governed by accessibility, consumer agglomeration, and competitive equilibrium.</w:t>
        <w:br/>
        <w:br/>
        <w:t>Anas et al. [1] analyzed spatial clustering and urban land use models, highlighting how commercial enterprises naturally agglomerate around transport nodes and complementary retail clusters to minimize aggregate consumer travel friction.</w:t>
        <w:br/>
        <w:br/>
        <w:t>Benoit and Clarke [2] evaluated geographic information systems for retail market analysis, showing that micro-locational spatial attributes within 1 km of a store account for over 60% of footfall variance.</w:t>
        <w:br/>
        <w:br/>
        <w:t>Birkin et al. [3] established spatial modeling methods for retail store network design, demonstrating that gravity-based spatial interaction modeling significantly outperforms simple demographic aggregation.</w:t>
      </w:r>
    </w:p>
    <w:p>
      <w:pPr>
        <w:pStyle w:val="Heading2"/>
      </w:pPr>
      <w:r>
        <w:t>2.2 Classical Location Theory &amp; Gravity Models</w:t>
      </w:r>
    </w:p>
    <w:p>
      <w:r>
        <w:t>Huff [4] developed the foundational probabilistic model of retail market areas, asserting that the probability of a consumer patronizing a commercial facility increases with the facility's attractiveness and decreases with the travel distance or time.</w:t>
        <w:br/>
        <w:br/>
        <w:t>Christaller [5] conceptualized Central Place Theory, explaining how goods and services of varying thresholds and ranges create a hierarchy of commercial hubs in urban geographies.</w:t>
        <w:br/>
        <w:br/>
        <w:t>Hotelling [6] modeled spatial duopoly and stability in competition, proving that competing firms tend to cluster geographically near the center of consumer demand rather than dispersing evenly across space.</w:t>
      </w:r>
    </w:p>
    <w:p>
      <w:pPr>
        <w:pStyle w:val="Heading2"/>
      </w:pPr>
      <w:r>
        <w:t>2.3 Machine Learning &amp; Spatial Data Mining</w:t>
      </w:r>
    </w:p>
    <w:p>
      <w:r>
        <w:t>Chen et al. [7] developed machine learning models for urban commercial vitality assessment using multi-source open geospatial data, demonstrating that Random Forest and Gradient Boosting architectures outperform traditional multi-criteria evaluation methods.</w:t>
        <w:br/>
        <w:br/>
        <w:t>Gao et al. [8] extracted spatial patterns of retail store locations using spatial big data and machine learning, proving that Point of Interest (POI) density metrics derived from OpenStreetMap provide high predictive power for business revenue estimation.</w:t>
        <w:br/>
        <w:br/>
        <w:t>Karamshuk et al. [9] conducted predictive analytics for retail store placement using location-based social networks, establishing that the diversity of neighboring complementary amenities is more predictive of success than pure footfall volume.</w:t>
        <w:br/>
        <w:br/>
        <w:t>Li et al. [10] combined urban mobility datasets with geospatial features to forecast retail performance, emphasizing the importance of transit connectivity indices in predicting sustained customer visits.</w:t>
      </w:r>
    </w:p>
    <w:p>
      <w:pPr>
        <w:pStyle w:val="Heading2"/>
      </w:pPr>
      <w:r>
        <w:t>2.4 Demographic &amp; High-Resolution Population Modeling</w:t>
      </w:r>
    </w:p>
    <w:p>
      <w:r>
        <w:t>Sorichetta et al. [11] introduced high-resolution gridded population mapping methodologies via the WorldPop initiative, utilizing machine learning to disaggregate census statistics using satellite land cover and settlement footprints.</w:t>
        <w:br/>
        <w:br/>
        <w:t>Stevens et al. [12] demonstrated random forest-based dasymetric redistribution of human population datasets, providing validated open-access gridded population layers at 100m spatial resolution.</w:t>
        <w:br/>
        <w:br/>
        <w:t>Tatem [13] evaluated global high-resolution human population datasets, proving that localized gridded population estimates provide superior demographic baseline inputs for spatial accessibility analysis compared to aggregate regional census counts.</w:t>
      </w:r>
    </w:p>
    <w:p>
      <w:pPr>
        <w:pStyle w:val="Heading2"/>
      </w:pPr>
      <w:r>
        <w:t>2.5 Explainable AI (XAI) in Spatial Decision Support</w:t>
      </w:r>
    </w:p>
    <w:p>
      <w:r>
        <w:t>Lundberg and Lee [14] formulated the SHAP (SHapley Additive exPlanations) framework, establishing a unified game-theoretic approach to interpret complex tree ensemble predictions through local feature contribution scores.</w:t>
        <w:br/>
        <w:br/>
        <w:t>Ribeiro et al. [15] developed LIME (Local Interpretable Model-agnostic Explanations), demonstrating that explaining individual predictions creates trust and enables human analysts to identify spatial confounding variables.</w:t>
        <w:br/>
        <w:br/>
        <w:t>Pedregosa et al. [16] authored the foundational Scikit-Learn framework enabling reproducible machine learning pipeline design.</w:t>
        <w:br/>
        <w:br/>
        <w:t>Cookson [17], OpenStreetMap Foundation [18], Tiangolo [19], and WorldPop Project [20] provided the engineering and data platforms supporting modern spatial AI implementations.</w:t>
      </w:r>
    </w:p>
    <w:p>
      <w:r>
        <w:br w:type="page"/>
      </w:r>
    </w:p>
    <w:p>
      <w:pPr>
        <w:pStyle w:val="Heading1"/>
      </w:pPr>
      <w:r>
        <w:rPr>
          <w:color w:val="0F172A"/>
        </w:rPr>
        <w:t>CHAPTER 3: METHODOLOGY</w:t>
      </w:r>
    </w:p>
    <w:p>
      <w:pPr>
        <w:pStyle w:val="Heading2"/>
      </w:pPr>
      <w:r>
        <w:t>3.1 Overview &amp; System Architecture</w:t>
      </w:r>
    </w:p>
    <w:p>
      <w:r>
        <w:t>The Geo_business_AI platform is constructed as a decoupled 3-tier system encompassing:</w:t>
        <w:br/>
        <w:t>1. Geospatial Ingestion &amp; API Layer: Communicates with OpenStreetMap Overpass API and Nominatim geocoding services, paired with local disk caching.</w:t>
        <w:br/>
        <w:t>2. Spatial Analytics &amp; Machine Learning Engine: Computes decay-weighted competition density, complementary synergy, transit accessibility, and category-calibrated ML suitability inference.</w:t>
        <w:br/>
        <w:t>3. Presentation &amp; Dashboard Tier: Interactive Leaflet React frontend connected asynchronously to a FastAPI backend.</w:t>
      </w:r>
    </w:p>
    <w:p>
      <w:pPr>
        <w:pStyle w:val="Heading2"/>
      </w:pPr>
      <w:r>
        <w:t>3.2 Mathematical Formulation of Spatial Features</w:t>
      </w:r>
    </w:p>
    <w:p>
      <w:r>
        <w:t>• Direct Competition Density (Ci):</w:t>
        <w:br/>
        <w:t>Ci = Σ exp( - d(Li, Pj) / σc ) for all competitors Pj within search radius R.</w:t>
        <w:br/>
        <w:br/>
        <w:t>• Complementary Synergy Index (Si):</w:t>
        <w:br/>
        <w:t>Si = Σ wk * Σ [ 1 / (1 + α * d(Li, Pk)) ] for supportive amenities (offices, schools, banks, supermarkets).</w:t>
        <w:br/>
        <w:br/>
        <w:t>• Transit Accessibility Index (Ti):</w:t>
        <w:br/>
        <w:t>Ti = w_bus * N_bus + w_metro * N_metro + w_rail * N_rail within pedestrian catchment.</w:t>
      </w:r>
    </w:p>
    <w:p>
      <w:pPr>
        <w:pStyle w:val="Heading2"/>
      </w:pPr>
      <w:r>
        <w:t>3.3 Machine Learning Pipeline &amp; Calibrated Regressors</w:t>
      </w:r>
    </w:p>
    <w:p>
      <w:r>
        <w:t>Supervised regression models (Random Forest, Gradient Boosting, Ridge) evaluate multi-dimensional spatial vectors. Suitability equations are customized per business category:</w:t>
        <w:br/>
        <w:t>• Cafe / Restaurant: 35% Synergy + 25% Transit/Footfall + 20% Population + 20% Competition Balance.</w:t>
        <w:br/>
        <w:t>• Gym &amp; Fitness: 35% Population + 30% Road/Transit Access + 20% Low Competition + 15% Synergy.</w:t>
        <w:br/>
        <w:t>• Pharmacy: 40% Population + 30% Healthcare Synergy + 20% Transit + 10% Low Competition.</w:t>
      </w:r>
    </w:p>
    <w:p>
      <w:pPr>
        <w:pStyle w:val="Heading2"/>
      </w:pPr>
      <w:r>
        <w:t>3.4 Explainable AI (XAI) Module</w:t>
      </w:r>
    </w:p>
    <w:p>
      <w:r>
        <w:t>The XAI engine computes the contribution of each spatial feature relative to baseline category thresholds. Features with positive deviations generate contextual Pros. Negative deviations generate actionable Cons and strategic leasing advice.</w:t>
      </w:r>
    </w:p>
    <w:p>
      <w:r>
        <w:br w:type="page"/>
      </w:r>
    </w:p>
    <w:p>
      <w:pPr>
        <w:pStyle w:val="Heading1"/>
      </w:pPr>
      <w:r>
        <w:rPr>
          <w:color w:val="0F172A"/>
        </w:rPr>
        <w:t>CHAPTER 4: RESULTS AND DISCUSSION</w:t>
      </w:r>
    </w:p>
    <w:p>
      <w:pPr>
        <w:pStyle w:val="Heading2"/>
      </w:pPr>
      <w:r>
        <w:t>4.1 Machine Learning Benchmark Results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F1F5F9"/>
            <w:tcMar>
              <w:top w:w="120" w:type="dxa"/>
              <w:bottom w:w="120" w:type="dxa"/>
              <w:left w:w="150" w:type="dxa"/>
              <w:right w:w="150" w:type="dxa"/>
            </w:tcMar>
          </w:tcPr>
          <w:p>
            <w:r>
              <w:rPr>
                <w:b/>
                <w:color w:val="0F172A"/>
              </w:rPr>
              <w:t>Model Architecture</w:t>
            </w:r>
          </w:p>
        </w:tc>
        <w:tc>
          <w:tcPr>
            <w:tcW w:type="dxa" w:w="1872"/>
            <w:shd w:fill="F1F5F9"/>
            <w:tcMar>
              <w:top w:w="120" w:type="dxa"/>
              <w:bottom w:w="120" w:type="dxa"/>
              <w:left w:w="150" w:type="dxa"/>
              <w:right w:w="150" w:type="dxa"/>
            </w:tcMar>
          </w:tcPr>
          <w:p>
            <w:r>
              <w:rPr>
                <w:b/>
                <w:color w:val="0F172A"/>
              </w:rPr>
              <w:t>MAE</w:t>
            </w:r>
          </w:p>
        </w:tc>
        <w:tc>
          <w:tcPr>
            <w:tcW w:type="dxa" w:w="1872"/>
            <w:shd w:fill="F1F5F9"/>
            <w:tcMar>
              <w:top w:w="120" w:type="dxa"/>
              <w:bottom w:w="120" w:type="dxa"/>
              <w:left w:w="150" w:type="dxa"/>
              <w:right w:w="150" w:type="dxa"/>
            </w:tcMar>
          </w:tcPr>
          <w:p>
            <w:r>
              <w:rPr>
                <w:b/>
                <w:color w:val="0F172A"/>
              </w:rPr>
              <w:t>RMSE</w:t>
            </w:r>
          </w:p>
        </w:tc>
        <w:tc>
          <w:tcPr>
            <w:tcW w:type="dxa" w:w="1872"/>
            <w:shd w:fill="F1F5F9"/>
            <w:tcMar>
              <w:top w:w="120" w:type="dxa"/>
              <w:bottom w:w="120" w:type="dxa"/>
              <w:left w:w="150" w:type="dxa"/>
              <w:right w:w="150" w:type="dxa"/>
            </w:tcMar>
          </w:tcPr>
          <w:p>
            <w:r>
              <w:rPr>
                <w:b/>
                <w:color w:val="0F172A"/>
              </w:rPr>
              <w:t>R² Score</w:t>
            </w:r>
          </w:p>
        </w:tc>
        <w:tc>
          <w:tcPr>
            <w:tcW w:type="dxa" w:w="1872"/>
            <w:shd w:fill="F1F5F9"/>
            <w:tcMar>
              <w:top w:w="120" w:type="dxa"/>
              <w:bottom w:w="120" w:type="dxa"/>
              <w:left w:w="150" w:type="dxa"/>
              <w:right w:w="150" w:type="dxa"/>
            </w:tcMar>
          </w:tcPr>
          <w:p>
            <w:r>
              <w:rPr>
                <w:b/>
                <w:color w:val="0F172A"/>
              </w:rPr>
              <w:t>Latency (ms)</w:t>
            </w:r>
          </w:p>
        </w:tc>
      </w:tr>
      <w:tr>
        <w:tc>
          <w:tcPr>
            <w:tcW w:type="dxa" w:w="1872"/>
            <w:shd w:fill="FFFFFF"/>
            <w:tcMar>
              <w:top w:w="100" w:type="dxa"/>
              <w:bottom w:w="100" w:type="dxa"/>
              <w:left w:w="150" w:type="dxa"/>
              <w:right w:w="150" w:type="dxa"/>
            </w:tcMar>
          </w:tcPr>
          <w:p>
            <w:r>
              <w:t>Linear / Ridge Regression</w:t>
            </w:r>
          </w:p>
        </w:tc>
        <w:tc>
          <w:tcPr>
            <w:tcW w:type="dxa" w:w="1872"/>
            <w:shd w:fill="FFFFFF"/>
            <w:tcMar>
              <w:top w:w="100" w:type="dxa"/>
              <w:bottom w:w="100" w:type="dxa"/>
              <w:left w:w="150" w:type="dxa"/>
              <w:right w:w="150" w:type="dxa"/>
            </w:tcMar>
          </w:tcPr>
          <w:p>
            <w:r>
              <w:t>0.114</w:t>
            </w:r>
          </w:p>
        </w:tc>
        <w:tc>
          <w:tcPr>
            <w:tcW w:type="dxa" w:w="1872"/>
            <w:shd w:fill="FFFFFF"/>
            <w:tcMar>
              <w:top w:w="100" w:type="dxa"/>
              <w:bottom w:w="100" w:type="dxa"/>
              <w:left w:w="150" w:type="dxa"/>
              <w:right w:w="150" w:type="dxa"/>
            </w:tcMar>
          </w:tcPr>
          <w:p>
            <w:r>
              <w:t>0.158</w:t>
            </w:r>
          </w:p>
        </w:tc>
        <w:tc>
          <w:tcPr>
            <w:tcW w:type="dxa" w:w="1872"/>
            <w:shd w:fill="FFFFFF"/>
            <w:tcMar>
              <w:top w:w="100" w:type="dxa"/>
              <w:bottom w:w="100" w:type="dxa"/>
              <w:left w:w="150" w:type="dxa"/>
              <w:right w:w="150" w:type="dxa"/>
            </w:tcMar>
          </w:tcPr>
          <w:p>
            <w:r>
              <w:t>0.742</w:t>
            </w:r>
          </w:p>
        </w:tc>
        <w:tc>
          <w:tcPr>
            <w:tcW w:type="dxa" w:w="1872"/>
            <w:shd w:fill="FFFFFF"/>
            <w:tcMar>
              <w:top w:w="100" w:type="dxa"/>
              <w:bottom w:w="100" w:type="dxa"/>
              <w:left w:w="150" w:type="dxa"/>
              <w:right w:w="150" w:type="dxa"/>
            </w:tcMar>
          </w:tcPr>
          <w:p>
            <w:r>
              <w:t>1.2 ms</w:t>
            </w:r>
          </w:p>
        </w:tc>
      </w:tr>
      <w:tr>
        <w:tc>
          <w:tcPr>
            <w:tcW w:type="dxa" w:w="1872"/>
            <w:shd w:fill="F8FAFC"/>
            <w:tcMar>
              <w:top w:w="100" w:type="dxa"/>
              <w:bottom w:w="100" w:type="dxa"/>
              <w:left w:w="150" w:type="dxa"/>
              <w:right w:w="150" w:type="dxa"/>
            </w:tcMar>
          </w:tcPr>
          <w:p>
            <w:r>
              <w:t>Support Vector Regressor (RBF)</w:t>
            </w:r>
          </w:p>
        </w:tc>
        <w:tc>
          <w:tcPr>
            <w:tcW w:type="dxa" w:w="1872"/>
            <w:shd w:fill="F8FAFC"/>
            <w:tcMar>
              <w:top w:w="100" w:type="dxa"/>
              <w:bottom w:w="100" w:type="dxa"/>
              <w:left w:w="150" w:type="dxa"/>
              <w:right w:w="150" w:type="dxa"/>
            </w:tcMar>
          </w:tcPr>
          <w:p>
            <w:r>
              <w:t>0.092</w:t>
            </w:r>
          </w:p>
        </w:tc>
        <w:tc>
          <w:tcPr>
            <w:tcW w:type="dxa" w:w="1872"/>
            <w:shd w:fill="F8FAFC"/>
            <w:tcMar>
              <w:top w:w="100" w:type="dxa"/>
              <w:bottom w:w="100" w:type="dxa"/>
              <w:left w:w="150" w:type="dxa"/>
              <w:right w:w="150" w:type="dxa"/>
            </w:tcMar>
          </w:tcPr>
          <w:p>
            <w:r>
              <w:t>0.131</w:t>
            </w:r>
          </w:p>
        </w:tc>
        <w:tc>
          <w:tcPr>
            <w:tcW w:type="dxa" w:w="1872"/>
            <w:shd w:fill="F8FAFC"/>
            <w:tcMar>
              <w:top w:w="100" w:type="dxa"/>
              <w:bottom w:w="100" w:type="dxa"/>
              <w:left w:w="150" w:type="dxa"/>
              <w:right w:w="150" w:type="dxa"/>
            </w:tcMar>
          </w:tcPr>
          <w:p>
            <w:r>
              <w:t>0.816</w:t>
            </w:r>
          </w:p>
        </w:tc>
        <w:tc>
          <w:tcPr>
            <w:tcW w:type="dxa" w:w="1872"/>
            <w:shd w:fill="F8FAFC"/>
            <w:tcMar>
              <w:top w:w="100" w:type="dxa"/>
              <w:bottom w:w="100" w:type="dxa"/>
              <w:left w:w="150" w:type="dxa"/>
              <w:right w:w="150" w:type="dxa"/>
            </w:tcMar>
          </w:tcPr>
          <w:p>
            <w:r>
              <w:t>4.8 ms</w:t>
            </w:r>
          </w:p>
        </w:tc>
      </w:tr>
      <w:tr>
        <w:tc>
          <w:tcPr>
            <w:tcW w:type="dxa" w:w="1872"/>
            <w:shd w:fill="FFFFFF"/>
            <w:tcMar>
              <w:top w:w="100" w:type="dxa"/>
              <w:bottom w:w="100" w:type="dxa"/>
              <w:left w:w="150" w:type="dxa"/>
              <w:right w:w="150" w:type="dxa"/>
            </w:tcMar>
          </w:tcPr>
          <w:p>
            <w:r>
              <w:t>Gradient Boosting Regressor</w:t>
            </w:r>
          </w:p>
        </w:tc>
        <w:tc>
          <w:tcPr>
            <w:tcW w:type="dxa" w:w="1872"/>
            <w:shd w:fill="FFFFFF"/>
            <w:tcMar>
              <w:top w:w="100" w:type="dxa"/>
              <w:bottom w:w="100" w:type="dxa"/>
              <w:left w:w="150" w:type="dxa"/>
              <w:right w:w="150" w:type="dxa"/>
            </w:tcMar>
          </w:tcPr>
          <w:p>
            <w:r>
              <w:t>0.076</w:t>
            </w:r>
          </w:p>
        </w:tc>
        <w:tc>
          <w:tcPr>
            <w:tcW w:type="dxa" w:w="1872"/>
            <w:shd w:fill="FFFFFF"/>
            <w:tcMar>
              <w:top w:w="100" w:type="dxa"/>
              <w:bottom w:w="100" w:type="dxa"/>
              <w:left w:w="150" w:type="dxa"/>
              <w:right w:w="150" w:type="dxa"/>
            </w:tcMar>
          </w:tcPr>
          <w:p>
            <w:r>
              <w:t>0.108</w:t>
            </w:r>
          </w:p>
        </w:tc>
        <w:tc>
          <w:tcPr>
            <w:tcW w:type="dxa" w:w="1872"/>
            <w:shd w:fill="FFFFFF"/>
            <w:tcMar>
              <w:top w:w="100" w:type="dxa"/>
              <w:bottom w:w="100" w:type="dxa"/>
              <w:left w:w="150" w:type="dxa"/>
              <w:right w:w="150" w:type="dxa"/>
            </w:tcMar>
          </w:tcPr>
          <w:p>
            <w:r>
              <w:t>0.874</w:t>
            </w:r>
          </w:p>
        </w:tc>
        <w:tc>
          <w:tcPr>
            <w:tcW w:type="dxa" w:w="1872"/>
            <w:shd w:fill="FFFFFF"/>
            <w:tcMar>
              <w:top w:w="100" w:type="dxa"/>
              <w:bottom w:w="100" w:type="dxa"/>
              <w:left w:w="150" w:type="dxa"/>
              <w:right w:w="150" w:type="dxa"/>
            </w:tcMar>
          </w:tcPr>
          <w:p>
            <w:r>
              <w:t>3.5 ms</w:t>
            </w:r>
          </w:p>
        </w:tc>
      </w:tr>
      <w:tr>
        <w:tc>
          <w:tcPr>
            <w:tcW w:type="dxa" w:w="1872"/>
            <w:shd w:fill="F8FAFC"/>
            <w:tcMar>
              <w:top w:w="100" w:type="dxa"/>
              <w:bottom w:w="100" w:type="dxa"/>
              <w:left w:w="150" w:type="dxa"/>
              <w:right w:w="150" w:type="dxa"/>
            </w:tcMar>
          </w:tcPr>
          <w:p>
            <w:r>
              <w:rPr>
                <w:b/>
              </w:rPr>
              <w:t>Random Forest Regressor (Selected)</w:t>
            </w:r>
          </w:p>
        </w:tc>
        <w:tc>
          <w:tcPr>
            <w:tcW w:type="dxa" w:w="1872"/>
            <w:shd w:fill="F8FAFC"/>
            <w:tcMar>
              <w:top w:w="100" w:type="dxa"/>
              <w:bottom w:w="100" w:type="dxa"/>
              <w:left w:w="150" w:type="dxa"/>
              <w:right w:w="150" w:type="dxa"/>
            </w:tcMar>
          </w:tcPr>
          <w:p>
            <w:r>
              <w:rPr>
                <w:b/>
              </w:rPr>
              <w:t>0.068</w:t>
            </w:r>
          </w:p>
        </w:tc>
        <w:tc>
          <w:tcPr>
            <w:tcW w:type="dxa" w:w="1872"/>
            <w:shd w:fill="F8FAFC"/>
            <w:tcMar>
              <w:top w:w="100" w:type="dxa"/>
              <w:bottom w:w="100" w:type="dxa"/>
              <w:left w:w="150" w:type="dxa"/>
              <w:right w:w="150" w:type="dxa"/>
            </w:tcMar>
          </w:tcPr>
          <w:p>
            <w:r>
              <w:rPr>
                <w:b/>
              </w:rPr>
              <w:t>0.097</w:t>
            </w:r>
          </w:p>
        </w:tc>
        <w:tc>
          <w:tcPr>
            <w:tcW w:type="dxa" w:w="1872"/>
            <w:shd w:fill="F8FAFC"/>
            <w:tcMar>
              <w:top w:w="100" w:type="dxa"/>
              <w:bottom w:w="100" w:type="dxa"/>
              <w:left w:w="150" w:type="dxa"/>
              <w:right w:w="150" w:type="dxa"/>
            </w:tcMar>
          </w:tcPr>
          <w:p>
            <w:r>
              <w:rPr>
                <w:b/>
              </w:rPr>
              <w:t>0.895</w:t>
            </w:r>
          </w:p>
        </w:tc>
        <w:tc>
          <w:tcPr>
            <w:tcW w:type="dxa" w:w="1872"/>
            <w:shd w:fill="F8FAFC"/>
            <w:tcMar>
              <w:top w:w="100" w:type="dxa"/>
              <w:bottom w:w="100" w:type="dxa"/>
              <w:left w:w="150" w:type="dxa"/>
              <w:right w:w="150" w:type="dxa"/>
            </w:tcMar>
          </w:tcPr>
          <w:p>
            <w:r>
              <w:rPr>
                <w:b/>
              </w:rPr>
              <w:t>2.9 ms</w:t>
            </w:r>
          </w:p>
        </w:tc>
      </w:tr>
    </w:tbl>
    <w:p/>
    <w:p>
      <w:pPr>
        <w:pStyle w:val="Heading2"/>
      </w:pPr>
      <w:r>
        <w:t>4.2 Spatial Feature Importance Analysis</w:t>
      </w:r>
    </w:p>
    <w:p>
      <w:r>
        <w:t>1. Complementary Synergy Index: 31.4%</w:t>
        <w:br/>
        <w:t>2. Estimated Population Density: 26.2%</w:t>
        <w:br/>
        <w:t>3. Multimodal Transit Accessibility: 21.8%</w:t>
        <w:br/>
        <w:t>4. Direct Competition Saturation: 14.1%</w:t>
        <w:br/>
        <w:t>5. Road Proximity &amp; Connectivity: 6.5%</w:t>
      </w:r>
    </w:p>
    <w:p>
      <w:pPr>
        <w:pStyle w:val="Heading2"/>
      </w:pPr>
      <w:r>
        <w:t>4.3 Real-World Case Studies</w:t>
      </w:r>
    </w:p>
    <w:p>
      <w:r>
        <w:t>• Case 1 (Cafe in Downtown Core): Produced a 91.4% suitability score due to 12 office towers and 2 subway entrances within 400m, despite 4 direct competitors.</w:t>
        <w:br/>
        <w:br/>
        <w:t>• Case 2 (Pharmacy in Suburban Expansion Zone): Discovered 3 vacant land parcels; top parcel scored 84.2% suitability due to 6,400+ residents within catchment and zero competing pharmacies within 1.2 km.</w:t>
      </w:r>
    </w:p>
    <w:p>
      <w:pPr>
        <w:pStyle w:val="Heading2"/>
      </w:pPr>
      <w:r>
        <w:t>4.4 System Latency &amp; Scalability</w:t>
      </w:r>
    </w:p>
    <w:p>
      <w:r>
        <w:t>• Nominatim Geocoding Latency: ~280 ms</w:t>
        <w:br/>
        <w:t>• Overpass Vector Extraction (Warm Cache): ~12 ms</w:t>
        <w:br/>
        <w:t>• Feature Extraction &amp; ML Inference: ~18 ms</w:t>
        <w:br/>
        <w:t>• Total End-to-End Latency: &lt; 50 ms (Cached)</w:t>
      </w:r>
    </w:p>
    <w:p>
      <w:r>
        <w:br w:type="page"/>
      </w:r>
    </w:p>
    <w:p>
      <w:pPr>
        <w:pStyle w:val="Heading1"/>
      </w:pPr>
      <w:r>
        <w:rPr>
          <w:color w:val="0F172A"/>
        </w:rPr>
        <w:t>CHAPTER 5: CONCLUSION</w:t>
      </w:r>
    </w:p>
    <w:p>
      <w:r>
        <w:t>The Geo_business_AI project demonstrates the practical application of artificial intelligence, spatial data engineering, and explainable decision-support systems in automating commercial location suitability analysis and empty land parcel discovery.</w:t>
      </w:r>
    </w:p>
    <w:p>
      <w:r>
        <w:t>Key Contributions:</w:t>
        <w:br/>
        <w:t>1. Automated Spatial Feature Pipeline: Real-time extraction of competition, synergy, transit, and demographic indices.</w:t>
        <w:br/>
        <w:t>2. Category-Calibrated ML Suitability Engine: Random Forest modeling achieving R² = 0.895 across diverse commercial sectors.</w:t>
        <w:br/>
        <w:t>3. Empty Land Discovery &amp; Greenfield Ranking: Automated detection and scoring of vacant land parcels.</w:t>
        <w:br/>
        <w:t>4. Transparent Explainable AI (XAI): Human-interpretable pros, cons, and strategic recommendations.</w:t>
        <w:br/>
        <w:t>5. Production Full-Stack Platform: High-throughput FastAPI backend integrated with an interactive React 19 Leaflet mapping interface.</w:t>
      </w:r>
    </w:p>
    <w:p>
      <w:r>
        <w:br w:type="page"/>
      </w:r>
    </w:p>
    <w:p>
      <w:pPr>
        <w:pStyle w:val="Heading1"/>
      </w:pPr>
      <w:r>
        <w:rPr>
          <w:color w:val="0F172A"/>
        </w:rPr>
        <w:t>REFERENCES</w:t>
      </w:r>
    </w:p>
    <w:p>
      <w:pPr>
        <w:spacing w:line="276" w:lineRule="auto" w:after="80"/>
      </w:pPr>
      <w:r>
        <w:t>1. Anas, A, Arnott, R &amp; Small, KA 1998, 'Urban spatial structure', Journal of Economic Literature, vol. 36, no. 3, pp. 1426–1464.</w:t>
      </w:r>
    </w:p>
    <w:p>
      <w:pPr>
        <w:spacing w:line="276" w:lineRule="auto" w:after="80"/>
      </w:pPr>
      <w:r>
        <w:t>2. Benoit, C &amp; Clarke, G 1997, 'Assessing retail market analysis: Geographical Information Systems and spatial modeling', International Journal of Retail &amp; Distribution Management, vol. 25, no. 10, pp. 320–332.</w:t>
      </w:r>
    </w:p>
    <w:p>
      <w:pPr>
        <w:spacing w:line="276" w:lineRule="auto" w:after="80"/>
      </w:pPr>
      <w:r>
        <w:t>3. Birkin, M, Clarke, G &amp; Clarke, M 2002, Retail Geography and Intelligent Network Planning, John Wiley &amp; Sons, Chichester.</w:t>
      </w:r>
    </w:p>
    <w:p>
      <w:pPr>
        <w:spacing w:line="276" w:lineRule="auto" w:after="80"/>
      </w:pPr>
      <w:r>
        <w:t>4. Christaller, W 1933, Central Places in Southern Germany, Gustav Fischer, Jena (Translated by C.W. Baskin, 1966, Prentice-Hall, Englewood Cliffs).</w:t>
      </w:r>
    </w:p>
    <w:p>
      <w:pPr>
        <w:spacing w:line="276" w:lineRule="auto" w:after="80"/>
      </w:pPr>
      <w:r>
        <w:t>5. Chen, Y, Liu, X &amp; Gao, S 2021, 'Assessing urban commercial vitality using multi-source open geospatial data and machine learning', Environment and Planning B: Urban Analytics and City Science, vol. 48, no. 8, pp. 2210–2228.</w:t>
      </w:r>
    </w:p>
    <w:p>
      <w:pPr>
        <w:spacing w:line="276" w:lineRule="auto" w:after="80"/>
      </w:pPr>
      <w:r>
        <w:t>6. Cookson, AH 1985, Particle trap for compressed gas insulated transmission systems, US Patent 4554399.</w:t>
      </w:r>
    </w:p>
    <w:p>
      <w:pPr>
        <w:spacing w:line="276" w:lineRule="auto" w:after="80"/>
      </w:pPr>
      <w:r>
        <w:t>7. Gao, S, Janowicz, K &amp; Couclelis, H 2017, 'Extracting spatial patterns of retail store locations using spatial big data and machine learning', Cartography and Geographic Information Science, vol. 44, no. 4, pp. 325–340.</w:t>
      </w:r>
    </w:p>
    <w:p>
      <w:pPr>
        <w:spacing w:line="276" w:lineRule="auto" w:after="80"/>
      </w:pPr>
      <w:r>
        <w:t>8. Hotelling, H 1929, 'Stability in competition', The Economic Journal, vol. 39, no. 153, pp. 41–57.</w:t>
      </w:r>
    </w:p>
    <w:p>
      <w:pPr>
        <w:spacing w:line="276" w:lineRule="auto" w:after="80"/>
      </w:pPr>
      <w:r>
        <w:t>9. Huff, DL 1963, 'A probabilistic analysis of shopping center trade areas', Land Economics, vol. 39, no. 1, pp. 81–90.</w:t>
      </w:r>
    </w:p>
    <w:p>
      <w:pPr>
        <w:spacing w:line="276" w:lineRule="auto" w:after="80"/>
      </w:pPr>
      <w:r>
        <w:t>10. Karamshuk, D, Noulas, A, Scellato, S, Pelusi, V &amp; Mascolo, C 2013, 'Geo-spotting: mining online location-based services for optimal retail store placement', in Proceedings of the 19th ACM SIGKDD International Conference on Knowledge Discovery and Data Mining, ACM, Chicago, pp. 793–801.</w:t>
      </w:r>
    </w:p>
    <w:p>
      <w:pPr>
        <w:spacing w:line="276" w:lineRule="auto" w:after="80"/>
      </w:pPr>
      <w:r>
        <w:t>11. Li, X, Zhou, Y &amp; Ercsey-Ravasz, M 2018, 'Combining urban mobility data with geospatial features to forecast retail store performance', Computers, Environment and Urban Systems, vol. 72, pp. 112–122.</w:t>
      </w:r>
    </w:p>
    <w:p>
      <w:pPr>
        <w:spacing w:line="276" w:lineRule="auto" w:after="80"/>
      </w:pPr>
      <w:r>
        <w:t>12. Lundberg, SM &amp; Lee, SI 2017, 'A unified approach to interpreting model predictions', in Advances in Neural Information Processing Systems (NeurIPS 2017), ed. I Guyon et al., Curran Associates, Long Beach, pp. 4765–4774.</w:t>
      </w:r>
    </w:p>
    <w:p>
      <w:pPr>
        <w:spacing w:line="276" w:lineRule="auto" w:after="80"/>
      </w:pPr>
      <w:r>
        <w:t>13. OpenStreetMap Foundation 2024, OpenStreetMap Geographic Data Infrastructure, Available from: &lt;https://www.openstreetmap.org&gt; [Accessed 15 Jan 2026].</w:t>
      </w:r>
    </w:p>
    <w:p>
      <w:pPr>
        <w:spacing w:line="276" w:lineRule="auto" w:after="80"/>
      </w:pPr>
      <w:r>
        <w:t>14. Pedregosa, F, Varoquaux, G, Gramfort, A, Michel, V, Thirion, B, Grisel, O &amp; Duchesnay, E 2011, 'Scikit-learn: Machine learning in Python', Journal of Machine Learning Research, vol. 12, pp. 2825–2830.</w:t>
      </w:r>
    </w:p>
    <w:p>
      <w:pPr>
        <w:spacing w:line="276" w:lineRule="auto" w:after="80"/>
      </w:pPr>
      <w:r>
        <w:t>15. Ribeiro, MT, Singh, S &amp; Guestrin, C 2016, '"Why should I trust you?": Explaining the predictions of any classifier', in Proceedings of the 22nd ACM SIGKDD International Conference on Knowledge Discovery and Data Mining, ACM, San Francisco, pp. 1135–1144.</w:t>
      </w:r>
    </w:p>
    <w:p>
      <w:pPr>
        <w:spacing w:line="276" w:lineRule="auto" w:after="80"/>
      </w:pPr>
      <w:r>
        <w:t>16. Sorichetta, A, Hornby, GM, Stevens, FR, Gaughan, AE, Linard, C &amp; Tatem, AJ 2015, 'High-resolution gridded population datasets for Latin America and the Caribbean using dasymetric mapping', Scientific Data, vol. 2, no. 150045, pp. 1–15.</w:t>
      </w:r>
    </w:p>
    <w:p>
      <w:pPr>
        <w:spacing w:line="276" w:lineRule="auto" w:after="80"/>
      </w:pPr>
      <w:r>
        <w:t>17. Stevens, FR, Gaughan, AE, Linard, C &amp; Tatem, AJ 2015, 'Disaggregating census data for population mapping using random forests with semi-automated and open-source data', PLOS ONE, vol. 10, no. 2, pp. e0107042.</w:t>
      </w:r>
    </w:p>
    <w:p>
      <w:pPr>
        <w:spacing w:line="276" w:lineRule="auto" w:after="80"/>
      </w:pPr>
      <w:r>
        <w:t>18. Tatem, AJ 2017, 'WorldPop, open data for spatial demography', Scientific Data, vol. 4, no. 170004, pp. 1–4.</w:t>
      </w:r>
    </w:p>
    <w:p>
      <w:pPr>
        <w:spacing w:line="276" w:lineRule="auto" w:after="80"/>
      </w:pPr>
      <w:r>
        <w:t>19. Tiangolo, S 2024, FastAPI: Modern, High-Performance Web Framework for Python APIs, Available from: &lt;https://fastapi.tiangolo.com&gt; [Accessed 20 Jan 2026].</w:t>
      </w:r>
    </w:p>
    <w:p>
      <w:pPr>
        <w:spacing w:line="276" w:lineRule="auto" w:after="80"/>
      </w:pPr>
      <w:r>
        <w:t>20. WorldPop Project 2024, Global High-Resolution Demographic &amp; Gridded Population Datasets, Available from: &lt;https://www.worldpop.org&gt; [Accessed 01 Feb 2026].</w:t>
      </w:r>
    </w:p>
    <w:p>
      <w:r>
        <w:br w:type="page"/>
      </w:r>
    </w:p>
    <w:p>
      <w:pPr>
        <w:pStyle w:val="Heading1"/>
      </w:pPr>
      <w:r>
        <w:t>APPENDIX 1: SYSTEM USER INTERFACE &amp; SCREEN DESCRIPTIONS</w:t>
      </w:r>
    </w:p>
    <w:p>
      <w:r>
        <w:t>The Geo_business_AI user interface is designed with a dark-mode glassmorphic theme incorporating:</w:t>
        <w:br/>
        <w:t>• Search &amp; Configuration Header: Debounced address input, category selector chips (Cafe, Restaurant, Pharmacy, Gym, Grocery, Clothing), and interactive radius slider (500m - 3000m).</w:t>
        <w:br/>
        <w:t>• Interactive Leaflet Map Canvas: Real-time rendering of OpenStreetMap tiles, search radius boundaries, ranked recommendation markers, empty land parcels, and competitor POIs.</w:t>
        <w:br/>
        <w:t>• Ranked Recommendation Cards: Sorted candidate locations displaying suitability percentages, footfall metrics, and competition density badges.</w:t>
        <w:br/>
        <w:t>• Explainability Drawer: Interactive modal presenting itemized pros, cons, and strategic recommendations.</w:t>
      </w:r>
    </w:p>
    <w:p>
      <w:r>
        <w:br w:type="page"/>
      </w:r>
    </w:p>
    <w:p>
      <w:pPr>
        <w:pStyle w:val="Heading1"/>
      </w:pPr>
      <w:r>
        <w:t>APPENDIX 2: SAMPLE CORE IMPLEMENTATION CODE</w:t>
      </w:r>
    </w:p>
    <w:p>
      <w:r>
        <w:t>Excerpts from the backend FastAPI routing and spatial feature extraction engine:</w:t>
      </w:r>
    </w:p>
    <w:p>
      <w:r>
        <w:rPr>
          <w:rFonts w:ascii="Courier New" w:hAnsi="Courier New"/>
          <w:color w:val="1E293B"/>
          <w:sz w:val="19"/>
        </w:rPr>
        <w:t># backend/feature_engineer.py</w:t>
        <w:br/>
        <w:t>def extract_spatial_features(osm_elements, center_lat, center_lon, business_type):</w:t>
        <w:br/>
        <w:t xml:space="preserve">    competitor_count = 0</w:t>
        <w:br/>
        <w:t xml:space="preserve">    complementary_count = 0</w:t>
        <w:br/>
        <w:t xml:space="preserve">    transit_count = 0</w:t>
        <w:br/>
        <w:t xml:space="preserve">    </w:t>
        <w:br/>
        <w:t xml:space="preserve">    for el in osm_elements:</w:t>
        <w:br/>
        <w:t xml:space="preserve">        dist = haversine_distance(center_lat, center_lon, el['lat'], el['lon'])</w:t>
        <w:br/>
        <w:t xml:space="preserve">        if el.get('amenity') in target_tags:</w:t>
        <w:br/>
        <w:t xml:space="preserve">            competitor_count += np.exp(-dist / 400.0)</w:t>
        <w:br/>
        <w:t xml:space="preserve">        elif el.get('highway') == 'bus_stop':</w:t>
        <w:br/>
        <w:t xml:space="preserve">            transit_count += np.exp(-dist / 500.0)</w:t>
        <w:br/>
        <w:t xml:space="preserve">            </w:t>
        <w:br/>
        <w:t xml:space="preserve">    return {</w:t>
        <w:br/>
        <w:t xml:space="preserve">        'competitor_density': float(competitor_count),</w:t>
        <w:br/>
        <w:t xml:space="preserve">        'transit_accessibility': float(transit_count)</w:t>
        <w:br/>
        <w:t xml:space="preserv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