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adea" w:cs="Caladea" w:eastAsia="Caladea" w:hAnsi="Caladea"/>
          <w:b/>
          <w:bCs/>
          <w:color w:val="C7A052"/>
          <w:sz w:val="22"/>
          <w:szCs w:val="22"/>
        </w:rPr>
        <w:t xml:space="preserve">TechnoElevate · Practitioner Sprint</w:t>
      </w:r>
    </w:p>
    <w:p>
      <w:pPr>
        <w:spacing w:after="100"/>
      </w:pPr>
      <w:r>
        <w:rPr>
          <w:rFonts w:ascii="Caladea" w:cs="Caladea" w:eastAsia="Caladea" w:hAnsi="Caladea"/>
          <w:b/>
          <w:bCs/>
          <w:color w:val="0D2C54"/>
          <w:sz w:val="40"/>
          <w:szCs w:val="40"/>
        </w:rPr>
        <w:t xml:space="preserve">Your Project: Start Here</w:t>
      </w:r>
    </w:p>
    <w:p>
      <w:pPr>
        <w:spacing w:after="160" w:before="0"/>
      </w:pPr>
      <w:r>
        <w:rPr>
          <w:rFonts w:ascii="Caladea" w:cs="Caladea" w:eastAsia="Caladea" w:hAnsi="Caladea"/>
          <w:i/>
          <w:iCs/>
          <w:color w:val="555555"/>
          <w:sz w:val="22"/>
          <w:szCs w:val="22"/>
        </w:rPr>
        <w:t xml:space="preserve">Read this whole page before you touch anything. It is short, and it will save you a wasted afternoon.</w:t>
      </w:r>
    </w:p>
    <w:p>
      <w:pPr>
        <w:spacing w:after="120"/>
      </w:pPr>
    </w:p>
    <w:p>
      <w:pPr>
        <w:pStyle w:val="Heading1"/>
        <w:spacing w:after="180" w:before="340"/>
      </w:pPr>
      <w:r>
        <w:rPr>
          <w:rFonts w:ascii="Caladea" w:cs="Caladea" w:eastAsia="Caladea" w:hAnsi="Caladea"/>
          <w:b/>
          <w:bCs/>
          <w:color w:val="0D2C54"/>
          <w:sz w:val="30"/>
          <w:szCs w:val="30"/>
        </w:rPr>
        <w:t xml:space="preserve">What you're doing, in three sentences</w:t>
      </w:r>
    </w:p>
    <w:p>
      <w:pPr>
        <w:spacing w:after="160" w:before="0"/>
      </w:pPr>
      <w:r>
        <w:rPr>
          <w:rFonts w:ascii="Caladea" w:cs="Caladea" w:eastAsia="Caladea" w:hAnsi="Caladea"/>
          <w:sz w:val="22"/>
          <w:szCs w:val="22"/>
        </w:rPr>
        <w:t xml:space="preserve">You have been given a small but complete payments platform called paylane. It works. Your job is not to change it — it is to build everything a real system needs around it: containers, infrastructure, a pipeline, a deployment, and monitoring.</w:t>
      </w:r>
    </w:p>
    <w:p>
      <w:pPr>
        <w:spacing w:after="160" w:before="0"/>
      </w:pPr>
      <w:r>
        <w:rPr>
          <w:rFonts w:ascii="Caladea" w:cs="Caladea" w:eastAsia="Caladea" w:hAnsi="Caladea"/>
          <w:sz w:val="22"/>
          <w:szCs w:val="22"/>
        </w:rPr>
        <w:t xml:space="preserve">You will work in pairs. By the end you will have built, hands-on, the exact set of skills the role you are interviewing for asks for — and, just as importantly, you will be able to </w:t>
      </w:r>
      <w:r>
        <w:rPr>
          <w:rFonts w:ascii="Caladea" w:cs="Caladea" w:eastAsia="Caladea" w:hAnsi="Caladea"/>
          <w:b/>
          <w:bCs/>
          <w:sz w:val="22"/>
          <w:szCs w:val="22"/>
        </w:rPr>
        <w:t xml:space="preserve">talk about them with the specific detail that only comes from having actually done the work.</w:t>
      </w:r>
    </w:p>
    <w:p>
      <w:pPr>
        <w:pStyle w:val="Heading1"/>
        <w:spacing w:after="180" w:before="340"/>
      </w:pPr>
      <w:r>
        <w:rPr>
          <w:rFonts w:ascii="Caladea" w:cs="Caladea" w:eastAsia="Caladea" w:hAnsi="Caladea"/>
          <w:b/>
          <w:bCs/>
          <w:color w:val="0D2C54"/>
          <w:sz w:val="30"/>
          <w:szCs w:val="30"/>
        </w:rPr>
        <w:t xml:space="preserve">The three things in your hands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519"/>
        <w:gridCol w:w="2519"/>
      </w:tblGrid>
      <w:tr>
        <w:trPr>
          <w:tblHeader/>
        </w:trPr>
        <w:tc>
          <w:tcPr>
            <w:tcW w:type="dxa" w:w="2600"/>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Document</w:t>
            </w:r>
          </w:p>
        </w:tc>
        <w:tc>
          <w:tcPr>
            <w:tcW w:type="dxa" w:w="4519"/>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What it is</w:t>
            </w:r>
          </w:p>
        </w:tc>
        <w:tc>
          <w:tcPr>
            <w:tcW w:type="dxa" w:w="2519"/>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When to use it</w:t>
            </w:r>
          </w:p>
        </w:tc>
      </w:tr>
      <w:tr>
        <w:tc>
          <w:tcPr>
            <w:tcW w:type="dxa" w:w="2600"/>
            <w:tcMar>
              <w:top w:type="dxa" w:w="60"/>
              <w:left w:type="dxa" w:w="120"/>
              <w:bottom w:type="dxa" w:w="60"/>
              <w:right w:type="dxa" w:w="120"/>
            </w:tcMar>
          </w:tcPr>
          <w:p>
            <w:r>
              <w:rPr>
                <w:rFonts w:ascii="Caladea" w:cs="Caladea" w:eastAsia="Caladea" w:hAnsi="Caladea"/>
                <w:b/>
                <w:bCs/>
                <w:sz w:val="20"/>
                <w:szCs w:val="20"/>
              </w:rPr>
              <w:t xml:space="preserve">The Project Brief</w:t>
            </w:r>
          </w:p>
        </w:tc>
        <w:tc>
          <w:tcPr>
            <w:tcW w:type="dxa" w:w="4519"/>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Your step-by-step guide, organised as milestones. Every command, every gotcha.</w:t>
            </w:r>
          </w:p>
        </w:tc>
        <w:tc>
          <w:tcPr>
            <w:tcW w:type="dxa" w:w="2519"/>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Your main reference. Work through it in order.</w:t>
            </w:r>
          </w:p>
        </w:tc>
      </w:tr>
      <w:tr>
        <w:tc>
          <w:tcPr>
            <w:tcW w:type="dxa" w:w="2600"/>
            <w:tcMar>
              <w:top w:type="dxa" w:w="60"/>
              <w:left w:type="dxa" w:w="120"/>
              <w:bottom w:type="dxa" w:w="60"/>
              <w:right w:type="dxa" w:w="120"/>
            </w:tcMar>
          </w:tcPr>
          <w:p>
            <w:r>
              <w:rPr>
                <w:rFonts w:ascii="Caladea" w:cs="Caladea" w:eastAsia="Caladea" w:hAnsi="Caladea"/>
                <w:b/>
                <w:bCs/>
                <w:sz w:val="20"/>
                <w:szCs w:val="20"/>
              </w:rPr>
              <w:t xml:space="preserve">The Big Picture deck</w:t>
            </w:r>
          </w:p>
        </w:tc>
        <w:tc>
          <w:tcPr>
            <w:tcW w:type="dxa" w:w="4519"/>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How paylane is built, how money flows through it, and where your work fits.</w:t>
            </w:r>
          </w:p>
        </w:tc>
        <w:tc>
          <w:tcPr>
            <w:tcW w:type="dxa" w:w="2519"/>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Read it first, before the brief, so the brief makes sense.</w:t>
            </w:r>
          </w:p>
        </w:tc>
      </w:tr>
      <w:tr>
        <w:tc>
          <w:tcPr>
            <w:tcW w:type="dxa" w:w="2600"/>
            <w:tcMar>
              <w:top w:type="dxa" w:w="60"/>
              <w:left w:type="dxa" w:w="120"/>
              <w:bottom w:type="dxa" w:w="60"/>
              <w:right w:type="dxa" w:w="120"/>
            </w:tcMar>
          </w:tcPr>
          <w:p>
            <w:r>
              <w:rPr>
                <w:rFonts w:ascii="Caladea" w:cs="Caladea" w:eastAsia="Caladea" w:hAnsi="Caladea"/>
                <w:b/>
                <w:bCs/>
                <w:sz w:val="20"/>
                <w:szCs w:val="20"/>
              </w:rPr>
              <w:t xml:space="preserve">The repository</w:t>
            </w:r>
          </w:p>
        </w:tc>
        <w:tc>
          <w:tcPr>
            <w:tcW w:type="dxa" w:w="4519"/>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The paylane code itself. You create your own copy from it (see below).</w:t>
            </w:r>
          </w:p>
        </w:tc>
        <w:tc>
          <w:tcPr>
            <w:tcW w:type="dxa" w:w="2519"/>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This is what you build on.</w:t>
            </w:r>
          </w:p>
        </w:tc>
      </w:tr>
    </w:tbl>
    <w:p>
      <w:pPr>
        <w:spacing w:after="120"/>
      </w:pPr>
    </w:p>
    <w:p>
      <w:pPr>
        <w:pStyle w:val="Heading1"/>
        <w:spacing w:after="180" w:before="340"/>
      </w:pPr>
      <w:r>
        <w:rPr>
          <w:rFonts w:ascii="Caladea" w:cs="Caladea" w:eastAsia="Caladea" w:hAnsi="Caladea"/>
          <w:b/>
          <w:bCs/>
          <w:color w:val="0D2C54"/>
          <w:sz w:val="30"/>
          <w:szCs w:val="30"/>
        </w:rPr>
        <w:t xml:space="preserve">Do these three things first, in order</w:t>
      </w:r>
    </w:p>
    <w:p>
      <w:pPr>
        <w:spacing w:after="160" w:before="0"/>
      </w:pPr>
      <w:r>
        <w:rPr>
          <w:rFonts w:ascii="Caladea" w:cs="Caladea" w:eastAsia="Caladea" w:hAnsi="Caladea"/>
          <w:sz w:val="22"/>
          <w:szCs w:val="22"/>
        </w:rPr>
        <w:t xml:space="preserve">Do not skip ahead. Each of these unblocks the next.</w:t>
      </w:r>
    </w:p>
    <w:p>
      <w:pPr>
        <w:pStyle w:val="ListParagraph"/>
        <w:numPr>
          <w:ilvl w:val="0"/>
          <w:numId w:val="2"/>
        </w:numPr>
        <w:spacing w:after="100"/>
      </w:pPr>
      <w:r>
        <w:rPr>
          <w:rFonts w:ascii="Caladea" w:cs="Caladea" w:eastAsia="Caladea" w:hAnsi="Caladea"/>
          <w:b/>
          <w:bCs/>
          <w:sz w:val="22"/>
          <w:szCs w:val="22"/>
        </w:rPr>
        <w:t xml:space="preserve">Read the Big Picture deck.</w:t>
      </w:r>
      <w:r>
        <w:rPr>
          <w:rFonts w:ascii="Caladea" w:cs="Caladea" w:eastAsia="Caladea" w:hAnsi="Caladea"/>
          <w:sz w:val="22"/>
          <w:szCs w:val="22"/>
        </w:rPr>
        <w:t xml:space="preserve"> Fifteen slides. It explains what paylane is and the two flows — how a payment is accepted, and how it is settled later. The brief assumes you have seen it.</w:t>
      </w:r>
    </w:p>
    <w:p>
      <w:pPr>
        <w:pStyle w:val="ListParagraph"/>
        <w:numPr>
          <w:ilvl w:val="0"/>
          <w:numId w:val="2"/>
        </w:numPr>
        <w:spacing w:after="100"/>
      </w:pPr>
      <w:r>
        <w:rPr>
          <w:rFonts w:ascii="Caladea" w:cs="Caladea" w:eastAsia="Caladea" w:hAnsi="Caladea"/>
          <w:b/>
          <w:bCs/>
          <w:sz w:val="22"/>
          <w:szCs w:val="22"/>
        </w:rPr>
        <w:t xml:space="preserve">Create your team's copy of the repository.</w:t>
      </w:r>
      <w:r>
        <w:rPr>
          <w:rFonts w:ascii="Caladea" w:cs="Caladea" w:eastAsia="Caladea" w:hAnsi="Caladea"/>
          <w:sz w:val="22"/>
          <w:szCs w:val="22"/>
        </w:rPr>
        <w:t xml:space="preserve"> On the repository page, click </w:t>
      </w:r>
      <w:r>
        <w:rPr>
          <w:rFonts w:ascii="Caladea" w:cs="Caladea" w:eastAsia="Caladea" w:hAnsi="Caladea"/>
          <w:b/>
          <w:bCs/>
          <w:sz w:val="22"/>
          <w:szCs w:val="22"/>
        </w:rPr>
        <w:t xml:space="preserve">Use this template</w:t>
      </w:r>
      <w:r>
        <w:rPr>
          <w:rFonts w:ascii="Caladea" w:cs="Caladea" w:eastAsia="Caladea" w:hAnsi="Caladea"/>
          <w:sz w:val="22"/>
          <w:szCs w:val="22"/>
        </w:rPr>
        <w:t xml:space="preserve"> → Create a new repository. This gives your pair a clean copy that is yours. Do not fork, and do not both work off one person's laptop — one shared repository, both of you pushing to it.</w:t>
      </w:r>
    </w:p>
    <w:p>
      <w:pPr>
        <w:pStyle w:val="ListParagraph"/>
        <w:numPr>
          <w:ilvl w:val="0"/>
          <w:numId w:val="2"/>
        </w:numPr>
        <w:spacing w:after="100"/>
      </w:pPr>
      <w:r>
        <w:rPr>
          <w:rFonts w:ascii="Caladea" w:cs="Caladea" w:eastAsia="Caladea" w:hAnsi="Caladea"/>
          <w:b/>
          <w:bCs/>
          <w:sz w:val="22"/>
          <w:szCs w:val="22"/>
        </w:rPr>
        <w:t xml:space="preserve">Do the AWS check (Milestone 0 in the brief).</w:t>
      </w:r>
      <w:r>
        <w:rPr>
          <w:rFonts w:ascii="Caladea" w:cs="Caladea" w:eastAsia="Caladea" w:hAnsi="Caladea"/>
          <w:sz w:val="22"/>
          <w:szCs w:val="22"/>
        </w:rPr>
        <w:t xml:space="preserve"> Before any real work, confirm which AWS free-tier model your account is on. It decides how you do the infrastructure milestone, and finding out late costs you hours. The brief tells you exactly what to look for.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Get paylane running before you build anything</w:t>
            </w:r>
          </w:p>
          <w:p>
            <w:pPr>
              <w:spacing w:after="60"/>
            </w:pPr>
            <w:r>
              <w:rPr>
                <w:rFonts w:ascii="Caladea" w:cs="Caladea" w:eastAsia="Caladea" w:hAnsi="Caladea"/>
                <w:sz w:val="21"/>
                <w:szCs w:val="21"/>
              </w:rPr>
              <w:t xml:space="preserve">The very first practical step is to run paylane as it ships and see a payment settle. If you cannot get the base application working on your machine, nothing after it will work either. The brief's opening section walks you through it, and it has been tested end to end on a clean machine — if you follow it exactly, it comes up.</w:t>
            </w:r>
          </w:p>
        </w:tc>
      </w:tr>
    </w:tbl>
    <w:p>
      <w:pPr>
        <w:pStyle w:val="Heading1"/>
        <w:spacing w:after="180" w:before="340"/>
      </w:pPr>
      <w:r>
        <w:rPr>
          <w:rFonts w:ascii="Caladea" w:cs="Caladea" w:eastAsia="Caladea" w:hAnsi="Caladea"/>
          <w:b/>
          <w:bCs/>
          <w:color w:val="0D2C54"/>
          <w:sz w:val="30"/>
          <w:szCs w:val="30"/>
        </w:rPr>
        <w:t xml:space="preserve">How to work as a pair</w:t>
      </w:r>
    </w:p>
    <w:p>
      <w:pPr>
        <w:pStyle w:val="ListParagraph"/>
        <w:numPr>
          <w:ilvl w:val="0"/>
          <w:numId w:val="3"/>
        </w:numPr>
        <w:spacing w:after="90"/>
      </w:pPr>
      <w:r>
        <w:rPr>
          <w:rFonts w:ascii="Caladea" w:cs="Caladea" w:eastAsia="Caladea" w:hAnsi="Caladea"/>
          <w:b/>
          <w:bCs/>
          <w:sz w:val="22"/>
          <w:szCs w:val="22"/>
        </w:rPr>
        <w:t xml:space="preserve">One repository, both of you.</w:t>
      </w:r>
      <w:r>
        <w:rPr>
          <w:rFonts w:ascii="Caladea" w:cs="Caladea" w:eastAsia="Caladea" w:hAnsi="Caladea"/>
          <w:sz w:val="22"/>
          <w:szCs w:val="22"/>
        </w:rPr>
        <w:t xml:space="preserve"> Create it once from the template; add your partner as a collaborator. Both commit to it.</w:t>
      </w:r>
    </w:p>
    <w:p>
      <w:pPr>
        <w:pStyle w:val="ListParagraph"/>
        <w:numPr>
          <w:ilvl w:val="0"/>
          <w:numId w:val="3"/>
        </w:numPr>
        <w:spacing w:after="90"/>
      </w:pPr>
      <w:r>
        <w:rPr>
          <w:rFonts w:ascii="Caladea" w:cs="Caladea" w:eastAsia="Caladea" w:hAnsi="Caladea"/>
          <w:b/>
          <w:bCs/>
          <w:sz w:val="22"/>
          <w:szCs w:val="22"/>
        </w:rPr>
        <w:t xml:space="preserve">Split by milestone, not by person-owns-a-tool.</w:t>
      </w:r>
      <w:r>
        <w:rPr>
          <w:rFonts w:ascii="Caladea" w:cs="Caladea" w:eastAsia="Caladea" w:hAnsi="Caladea"/>
          <w:sz w:val="22"/>
          <w:szCs w:val="22"/>
        </w:rPr>
        <w:t xml:space="preserve"> Pair on the hard parts — the pipeline and the deploy are much easier with two sets of eyes. Whoever is not typing should be reading the logs.</w:t>
      </w:r>
    </w:p>
    <w:p>
      <w:pPr>
        <w:pStyle w:val="ListParagraph"/>
        <w:numPr>
          <w:ilvl w:val="0"/>
          <w:numId w:val="3"/>
        </w:numPr>
        <w:spacing w:after="90"/>
      </w:pPr>
      <w:r>
        <w:rPr>
          <w:rFonts w:ascii="Caladea" w:cs="Caladea" w:eastAsia="Caladea" w:hAnsi="Caladea"/>
          <w:b/>
          <w:bCs/>
          <w:sz w:val="22"/>
          <w:szCs w:val="22"/>
        </w:rPr>
        <w:t xml:space="preserve">Commit often, with real messages.</w:t>
      </w:r>
      <w:r>
        <w:rPr>
          <w:rFonts w:ascii="Caladea" w:cs="Caladea" w:eastAsia="Caladea" w:hAnsi="Caladea"/>
          <w:sz w:val="22"/>
          <w:szCs w:val="22"/>
        </w:rPr>
        <w:t xml:space="preserve"> “Add Dockerfile for payment-svc”, not “stuff”. Your commit history is a record of what you did, and you will draw on it when you talk about the work.</w:t>
      </w:r>
    </w:p>
    <w:p>
      <w:pPr>
        <w:pStyle w:val="ListParagraph"/>
        <w:numPr>
          <w:ilvl w:val="0"/>
          <w:numId w:val="3"/>
        </w:numPr>
        <w:spacing w:after="90"/>
      </w:pPr>
      <w:r>
        <w:rPr>
          <w:rFonts w:ascii="Caladea" w:cs="Caladea" w:eastAsia="Caladea" w:hAnsi="Caladea"/>
          <w:b/>
          <w:bCs/>
          <w:sz w:val="22"/>
          <w:szCs w:val="22"/>
        </w:rPr>
        <w:t xml:space="preserve">Both of you must understand all of it.</w:t>
      </w:r>
      <w:r>
        <w:rPr>
          <w:rFonts w:ascii="Caladea" w:cs="Caladea" w:eastAsia="Caladea" w:hAnsi="Caladea"/>
          <w:sz w:val="22"/>
          <w:szCs w:val="22"/>
        </w:rPr>
        <w:t xml:space="preserve"> You will each be interviewed alone. “My partner did that part” is not an answer either of you can afford.</w:t>
      </w:r>
    </w:p>
    <w:p>
      <w:pPr>
        <w:pStyle w:val="Heading1"/>
        <w:spacing w:after="180" w:before="340"/>
      </w:pPr>
      <w:r>
        <w:rPr>
          <w:rFonts w:ascii="Caladea" w:cs="Caladea" w:eastAsia="Caladea" w:hAnsi="Caladea"/>
          <w:b/>
          <w:bCs/>
          <w:color w:val="0D2C54"/>
          <w:sz w:val="30"/>
          <w:szCs w:val="30"/>
        </w:rPr>
        <w:t xml:space="preserve">About the interview — read this carefully</w:t>
      </w:r>
    </w:p>
    <w:p>
      <w:pPr>
        <w:spacing w:after="160" w:before="0"/>
      </w:pPr>
      <w:r>
        <w:rPr>
          <w:rFonts w:ascii="Caladea" w:cs="Caladea" w:eastAsia="Caladea" w:hAnsi="Caladea"/>
          <w:b/>
          <w:bCs/>
          <w:sz w:val="22"/>
          <w:szCs w:val="22"/>
        </w:rPr>
        <w:t xml:space="preserve">You will not be asked to show the repository, the code, or any screenshots. </w:t>
      </w:r>
      <w:r>
        <w:rPr>
          <w:rFonts w:ascii="Caladea" w:cs="Caladea" w:eastAsia="Caladea" w:hAnsi="Caladea"/>
          <w:sz w:val="22"/>
          <w:szCs w:val="22"/>
        </w:rPr>
        <w:t xml:space="preserve">This is a banking-domain project, and access to project systems is restricted — that is a normal, expected state of affairs in financial services, and it is a perfectly good answer if anyone asks why you cannot share the code.</w:t>
      </w:r>
    </w:p>
    <w:p>
      <w:pPr>
        <w:spacing w:after="160" w:before="0"/>
      </w:pPr>
      <w:r>
        <w:rPr>
          <w:rFonts w:ascii="Caladea" w:cs="Caladea" w:eastAsia="Caladea" w:hAnsi="Caladea"/>
          <w:sz w:val="22"/>
          <w:szCs w:val="22"/>
        </w:rPr>
        <w:t xml:space="preserve">But understand what that means for you: </w:t>
      </w:r>
      <w:r>
        <w:rPr>
          <w:rFonts w:ascii="Caladea" w:cs="Caladea" w:eastAsia="Caladea" w:hAnsi="Caladea"/>
          <w:b/>
          <w:bCs/>
          <w:sz w:val="22"/>
          <w:szCs w:val="22"/>
        </w:rPr>
        <w:t xml:space="preserve">the only evidence you have is what you can say.</w:t>
      </w:r>
      <w:r>
        <w:rPr>
          <w:rFonts w:ascii="Caladea" w:cs="Caladea" w:eastAsia="Caladea" w:hAnsi="Caladea"/>
          <w:sz w:val="22"/>
          <w:szCs w:val="22"/>
        </w:rPr>
        <w:t xml:space="preserve"> There is no repository to point at that speaks for you. This raises the bar on being able to describe what you built, precisely and in your own words. A vague answer collapses under one follow-up question. A specific one is unshakeable, because you cannot fake having lived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The difference, in one example</w:t>
            </w:r>
          </w:p>
          <w:p>
            <w:pPr>
              <w:spacing w:after="60"/>
            </w:pPr>
            <w:r>
              <w:rPr>
                <w:rFonts w:ascii="Caladea" w:cs="Caladea" w:eastAsia="Caladea" w:hAnsi="Caladea"/>
                <w:b/>
                <w:bCs/>
                <w:sz w:val="21"/>
                <w:szCs w:val="21"/>
              </w:rPr>
              <w:t xml:space="preserve">Weak: </w:t>
            </w:r>
            <w:r>
              <w:rPr>
                <w:rFonts w:ascii="Caladea" w:cs="Caladea" w:eastAsia="Caladea" w:hAnsi="Caladea"/>
                <w:i/>
                <w:iCs/>
                <w:sz w:val="21"/>
                <w:szCs w:val="21"/>
              </w:rPr>
              <w:t xml:space="preserve">“I set up a CI/CD pipeline with Jenkins.”  (Every candidate says this. It proves nothing.)</w:t>
            </w:r>
          </w:p>
          <w:p>
            <w:pPr>
              <w:spacing w:after="60"/>
            </w:pPr>
            <w:r>
              <w:rPr>
                <w:rFonts w:ascii="Caladea" w:cs="Caladea" w:eastAsia="Caladea" w:hAnsi="Caladea"/>
                <w:b/>
                <w:bCs/>
                <w:sz w:val="21"/>
                <w:szCs w:val="21"/>
              </w:rPr>
              <w:t xml:space="preserve">Strong: </w:t>
            </w:r>
            <w:r>
              <w:rPr>
                <w:rFonts w:ascii="Caladea" w:cs="Caladea" w:eastAsia="Caladea" w:hAnsi="Caladea"/>
                <w:i/>
                <w:iCs/>
                <w:sz w:val="21"/>
                <w:szCs w:val="21"/>
              </w:rPr>
              <w:t xml:space="preserve">“I built a Jenkins pipeline that lints first so it fails in seconds instead of minutes, then builds five service images and pushes them to a registry tagged with the commit number so every image is traceable. My first run failed on real lint errors in the code — I read the console output, reproduced it locally, and fixed it before it went green.”</w:t>
            </w:r>
          </w:p>
          <w:p>
            <w:pPr>
              <w:spacing w:after="60"/>
            </w:pPr>
            <w:r>
              <w:rPr>
                <w:rFonts w:ascii="Caladea" w:cs="Caladea" w:eastAsia="Caladea" w:hAnsi="Caladea"/>
                <w:b/>
                <w:bCs/>
                <w:sz w:val="21"/>
                <w:szCs w:val="21"/>
              </w:rPr>
              <w:t xml:space="preserve">The second answer is not longer for the sake of it. Every clause is a thing you did, and that is exactly why it convinces.</w:t>
            </w:r>
          </w:p>
        </w:tc>
      </w:tr>
    </w:tbl>
    <w:p>
      <w:pPr>
        <w:pStyle w:val="Heading1"/>
        <w:spacing w:after="180" w:before="340"/>
      </w:pPr>
      <w:r>
        <w:rPr>
          <w:rFonts w:ascii="Caladea" w:cs="Caladea" w:eastAsia="Caladea" w:hAnsi="Caladea"/>
          <w:b/>
          <w:bCs/>
          <w:color w:val="0D2C54"/>
          <w:sz w:val="30"/>
          <w:szCs w:val="30"/>
        </w:rPr>
        <w:t xml:space="preserve">The talking points worth rehearsing</w:t>
      </w:r>
    </w:p>
    <w:p>
      <w:pPr>
        <w:spacing w:after="160" w:before="0"/>
      </w:pPr>
      <w:r>
        <w:rPr>
          <w:rFonts w:ascii="Caladea" w:cs="Caladea" w:eastAsia="Caladea" w:hAnsi="Caladea"/>
          <w:sz w:val="22"/>
          <w:szCs w:val="22"/>
        </w:rPr>
        <w:t xml:space="preserve">As you build, notice why each choice was made — because these are what you will be asked. Have a real answer to each:</w:t>
      </w:r>
    </w:p>
    <w:p>
      <w:pPr>
        <w:pStyle w:val="ListParagraph"/>
        <w:numPr>
          <w:ilvl w:val="0"/>
          <w:numId w:val="3"/>
        </w:numPr>
        <w:spacing w:after="90"/>
      </w:pPr>
      <w:r>
        <w:rPr>
          <w:rFonts w:ascii="Caladea" w:cs="Caladea" w:eastAsia="Caladea" w:hAnsi="Caladea"/>
          <w:b/>
          <w:bCs/>
          <w:sz w:val="22"/>
          <w:szCs w:val="22"/>
        </w:rPr>
        <w:t xml:space="preserve">Why does the pipeline lint before it builds?</w:t>
      </w:r>
      <w:r>
        <w:rPr>
          <w:rFonts w:ascii="Caladea" w:cs="Caladea" w:eastAsia="Caladea" w:hAnsi="Caladea"/>
          <w:sz w:val="22"/>
          <w:szCs w:val="22"/>
        </w:rPr>
        <w:t xml:space="preserve"> Because a linter takes seconds and five image builds take minutes. Fail fast, fail cheap. If lint fails, nothing gets built.</w:t>
      </w:r>
    </w:p>
    <w:p>
      <w:pPr>
        <w:pStyle w:val="ListParagraph"/>
        <w:numPr>
          <w:ilvl w:val="0"/>
          <w:numId w:val="3"/>
        </w:numPr>
        <w:spacing w:after="90"/>
      </w:pPr>
      <w:r>
        <w:rPr>
          <w:rFonts w:ascii="Caladea" w:cs="Caladea" w:eastAsia="Caladea" w:hAnsi="Caladea"/>
          <w:b/>
          <w:bCs/>
          <w:sz w:val="22"/>
          <w:szCs w:val="22"/>
        </w:rPr>
        <w:t xml:space="preserve">Why do your container images run as a non-root user?</w:t>
      </w:r>
      <w:r>
        <w:rPr>
          <w:rFonts w:ascii="Caladea" w:cs="Caladea" w:eastAsia="Caladea" w:hAnsi="Caladea"/>
          <w:sz w:val="22"/>
          <w:szCs w:val="22"/>
        </w:rPr>
        <w:t xml:space="preserve"> Because an image that assumes it is root will not deploy to a hardened or OpenShift cluster — the kind banks run. Running as an unprivileged user makes the image deployable anywhere.</w:t>
      </w:r>
    </w:p>
    <w:p>
      <w:pPr>
        <w:pStyle w:val="ListParagraph"/>
        <w:numPr>
          <w:ilvl w:val="0"/>
          <w:numId w:val="3"/>
        </w:numPr>
        <w:spacing w:after="90"/>
      </w:pPr>
      <w:r>
        <w:rPr>
          <w:rFonts w:ascii="Caladea" w:cs="Caladea" w:eastAsia="Caladea" w:hAnsi="Caladea"/>
          <w:b/>
          <w:bCs/>
          <w:sz w:val="22"/>
          <w:szCs w:val="22"/>
        </w:rPr>
        <w:t xml:space="preserve">Why is Jenkins on your laptop and not in the cloud?</w:t>
      </w:r>
      <w:r>
        <w:rPr>
          <w:rFonts w:ascii="Caladea" w:cs="Caladea" w:eastAsia="Caladea" w:hAnsi="Caladea"/>
          <w:sz w:val="22"/>
          <w:szCs w:val="22"/>
        </w:rPr>
        <w:t xml:space="preserve"> Because the free cloud machine has only 1 GB of RAM and Jenkins needs most of that. A build server that builds locally and deploys to the cloud is a real, common architecture — not a shortcut.</w:t>
      </w:r>
    </w:p>
    <w:p>
      <w:pPr>
        <w:pStyle w:val="ListParagraph"/>
        <w:numPr>
          <w:ilvl w:val="0"/>
          <w:numId w:val="3"/>
        </w:numPr>
        <w:spacing w:after="90"/>
      </w:pPr>
      <w:r>
        <w:rPr>
          <w:rFonts w:ascii="Caladea" w:cs="Caladea" w:eastAsia="Caladea" w:hAnsi="Caladea"/>
          <w:b/>
          <w:bCs/>
          <w:sz w:val="22"/>
          <w:szCs w:val="22"/>
        </w:rPr>
        <w:t xml:space="preserve">Why is the monitoring stack not on the same box as the app?</w:t>
      </w:r>
      <w:r>
        <w:rPr>
          <w:rFonts w:ascii="Caladea" w:cs="Caladea" w:eastAsia="Caladea" w:hAnsi="Caladea"/>
          <w:sz w:val="22"/>
          <w:szCs w:val="22"/>
        </w:rPr>
        <w:t xml:space="preserve"> Because the app already uses most of the box's 1 GB. Adding monitoring would starve it. Knowing that number, and the trade-off it forces, is the answer.</w:t>
      </w:r>
    </w:p>
    <w:p>
      <w:pPr>
        <w:pStyle w:val="ListParagraph"/>
        <w:numPr>
          <w:ilvl w:val="0"/>
          <w:numId w:val="3"/>
        </w:numPr>
        <w:spacing w:after="90"/>
      </w:pPr>
      <w:r>
        <w:rPr>
          <w:rFonts w:ascii="Caladea" w:cs="Caladea" w:eastAsia="Caladea" w:hAnsi="Caladea"/>
          <w:b/>
          <w:bCs/>
          <w:sz w:val="22"/>
          <w:szCs w:val="22"/>
        </w:rPr>
        <w:t xml:space="preserve">What was the bug?</w:t>
      </w:r>
      <w:r>
        <w:rPr>
          <w:rFonts w:ascii="Caladea" w:cs="Caladea" w:eastAsia="Caladea" w:hAnsi="Caladea"/>
          <w:sz w:val="22"/>
          <w:szCs w:val="22"/>
        </w:rPr>
        <w:t xml:space="preserve"> This is your best story. Do not give it away here — you will find it in the last milestone. When you do, be able to tell it as: what a customer would have seen, how you detected it, and what actually caused it. Look carefully; the most interesting failures have more than one cause.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The one story that sets you apart</w:t>
            </w:r>
          </w:p>
          <w:p>
            <w:pPr>
              <w:spacing w:after="60"/>
            </w:pPr>
            <w:r>
              <w:rPr>
                <w:rFonts w:ascii="Caladea" w:cs="Caladea" w:eastAsia="Caladea" w:hAnsi="Caladea"/>
                <w:sz w:val="21"/>
                <w:szCs w:val="21"/>
              </w:rPr>
              <w:t xml:space="preserve">Almost every candidate can claim a pipeline. Almost none can say: “We double-charged a customer, and here is exactly how I found it and what caused it.” That story — a real defect you diagnosed yourself — is the single most valuable thing you will walk out of this project with. Spend real time on the final milestone. It is worth more than another tool on the list.</w:t>
            </w:r>
          </w:p>
        </w:tc>
      </w:tr>
    </w:tbl>
    <w:p>
      <w:pPr>
        <w:pStyle w:val="Heading1"/>
        <w:spacing w:after="180" w:before="340"/>
      </w:pPr>
      <w:r>
        <w:rPr>
          <w:rFonts w:ascii="Caladea" w:cs="Caladea" w:eastAsia="Caladea" w:hAnsi="Caladea"/>
          <w:b/>
          <w:bCs/>
          <w:color w:val="0D2C54"/>
          <w:sz w:val="30"/>
          <w:szCs w:val="30"/>
        </w:rPr>
        <w:t xml:space="preserve">If you get stuck</w:t>
      </w:r>
    </w:p>
    <w:p>
      <w:pPr>
        <w:pStyle w:val="ListParagraph"/>
        <w:numPr>
          <w:ilvl w:val="0"/>
          <w:numId w:val="3"/>
        </w:numPr>
        <w:spacing w:after="90"/>
      </w:pPr>
      <w:r>
        <w:rPr>
          <w:rFonts w:ascii="Caladea" w:cs="Caladea" w:eastAsia="Caladea" w:hAnsi="Caladea"/>
          <w:b/>
          <w:bCs/>
          <w:sz w:val="22"/>
          <w:szCs w:val="22"/>
        </w:rPr>
        <w:t xml:space="preserve">The brief has a troubleshooting table</w:t>
      </w:r>
      <w:r>
        <w:rPr>
          <w:rFonts w:ascii="Caladea" w:cs="Caladea" w:eastAsia="Caladea" w:hAnsi="Caladea"/>
          <w:sz w:val="22"/>
          <w:szCs w:val="22"/>
        </w:rPr>
        <w:t xml:space="preserve"> at the end covering the common failures — the 503, the GHCR push, the SSH problems, the out-of-memory box. Check it before anything else.</w:t>
      </w:r>
    </w:p>
    <w:p>
      <w:pPr>
        <w:pStyle w:val="ListParagraph"/>
        <w:numPr>
          <w:ilvl w:val="0"/>
          <w:numId w:val="3"/>
        </w:numPr>
        <w:spacing w:after="90"/>
      </w:pPr>
      <w:r>
        <w:rPr>
          <w:rFonts w:ascii="Caladea" w:cs="Caladea" w:eastAsia="Caladea" w:hAnsi="Caladea"/>
          <w:b/>
          <w:bCs/>
          <w:sz w:val="22"/>
          <w:szCs w:val="22"/>
        </w:rPr>
        <w:t xml:space="preserve">Read the error, then reproduce it locally.</w:t>
      </w:r>
      <w:r>
        <w:rPr>
          <w:rFonts w:ascii="Caladea" w:cs="Caladea" w:eastAsia="Caladea" w:hAnsi="Caladea"/>
          <w:sz w:val="22"/>
          <w:szCs w:val="22"/>
        </w:rPr>
        <w:t xml:space="preserve"> Most problems are faster to solve on your own machine than by pushing and waiting.</w:t>
      </w:r>
    </w:p>
    <w:p>
      <w:pPr>
        <w:pStyle w:val="ListParagraph"/>
        <w:numPr>
          <w:ilvl w:val="0"/>
          <w:numId w:val="3"/>
        </w:numPr>
        <w:spacing w:after="90"/>
      </w:pPr>
      <w:r>
        <w:rPr>
          <w:rFonts w:ascii="Caladea" w:cs="Caladea" w:eastAsia="Caladea" w:hAnsi="Caladea"/>
          <w:b/>
          <w:bCs/>
          <w:sz w:val="22"/>
          <w:szCs w:val="22"/>
        </w:rPr>
        <w:t xml:space="preserve">A finished milestone beats a half-finished tool.</w:t>
      </w:r>
      <w:r>
        <w:rPr>
          <w:rFonts w:ascii="Caladea" w:cs="Caladea" w:eastAsia="Caladea" w:hAnsi="Caladea"/>
          <w:sz w:val="22"/>
          <w:szCs w:val="22"/>
        </w:rPr>
        <w:t xml:space="preserve"> If you are running short on time, stop adding things and make what you have solid, and write it up. Depth beats breadth here — and in the interview.</w:t>
      </w:r>
    </w:p>
    <w:p>
      <w:pPr>
        <w:spacing w:after="160" w:before="120"/>
      </w:pPr>
      <w:r>
        <w:rPr>
          <w:rFonts w:ascii="Caladea" w:cs="Caladea" w:eastAsia="Caladea" w:hAnsi="Caladea"/>
          <w:b/>
          <w:bCs/>
          <w:sz w:val="22"/>
          <w:szCs w:val="22"/>
        </w:rPr>
        <w:t xml:space="preserve">That's everything. Read the deck, take your copy of the repo, do the AWS check, get paylane running — then open the brief at Milestone 1 and go.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adea" w:cs="Caladea" w:eastAsia="Caladea" w:hAnsi="Caladea"/>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rFonts w:ascii="Caladea" w:cs="Caladea" w:eastAsia="Caladea" w:hAnsi="Caladea"/>
        <w:b/>
        <w:bCs/>
        <w:color w:val="0D2C54"/>
        <w:sz w:val="18"/>
        <w:szCs w:val="18"/>
      </w:rPr>
      <w:t xml:space="preserve">TechnoElevate</w:t>
    </w:r>
    <w:r>
      <w:rPr>
        <w:rFonts w:ascii="Caladea" w:cs="Caladea" w:eastAsia="Caladea" w:hAnsi="Caladea"/>
        <w:color w:val="C7A052"/>
        <w:sz w:val="18"/>
        <w:szCs w:val="18"/>
      </w:rPr>
      <w:t xml:space="preserve">	paylane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adea" w:cs="Caladea" w:eastAsia="Caladea" w:hAnsi="Calade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2026-07-19T08:46:20.949Z</dcterms:created>
  <dcterms:modified xsi:type="dcterms:W3CDTF">2026-07-19T08:46:20.961Z</dcterms:modified>
</cp:coreProperties>
</file>

<file path=docProps/custom.xml><?xml version="1.0" encoding="utf-8"?>
<Properties xmlns="http://schemas.openxmlformats.org/officeDocument/2006/custom-properties" xmlns:vt="http://schemas.openxmlformats.org/officeDocument/2006/docPropsVTypes"/>
</file>