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 Results and Discussion</w:t>
      </w:r>
    </w:p>
    <w:p>
      <w:pPr>
        <w:pStyle w:val="Heading2"/>
      </w:pPr>
      <w:r>
        <w:t>4.1. Feature Engineering and Optimal Selection</w:t>
      </w:r>
    </w:p>
    <w:p>
      <w:r>
        <w:t>The raw dataset comprised 60 aggregated photovoltaic array cases under four distinct operating conditions: Normal Operation, Partial Shading (PS), String Mismatch (MM), and Cross-String Faults. Because complex topological faults (e.g., Cross-String short circuits) exhibit highly non-linear overlaps with standard String Mismatches in the raw voltage-current (I-V) plane, raw sensor data was insufficient for accurate classification. A rigorous feature engineering pipeline derived 15 thermodynamic and electrical features to expand the dimensional space.</w:t>
      </w:r>
    </w:p>
    <w:p>
      <w:r>
        <w:t>Three metaheuristic optimization algorithms—Particle Swarm Optimization (PSO), the Chaotic Reptile Search Algorithm (CRSA), and the proposed Self-Organizing Map coupled with a Genetic Algorithm (SOM-GA)—were deployed to isolate the optimal discriminative feature subset. To enforce parsimony and prevent overfitting on the sparse dataset, the fitness functions penalized bloated feature topologies.</w:t>
      </w:r>
    </w:p>
    <w:p>
      <w:pPr>
        <w:pStyle w:val="Heading2"/>
      </w:pPr>
      <w:r>
        <w:t>4.2. Comparative Predictive Performance</w:t>
      </w:r>
    </w:p>
    <w:p>
      <w:r>
        <w:t>A Random Forest Classifier consisting of 100 estimators was utilized as the final diagnostic evaluator. Due to the extreme sparsity of minority classes (e.g., n=2 for Normal cases), a custom stratified test split was strictly enforced. This ensured the classifier was rigorously validated against exactly 12 cases representing all four distinct operating conditions (5 Cross-String, 4 MM, 2 PS, 1 Normal).</w:t>
      </w:r>
    </w:p>
    <w:p>
      <w:r>
        <w:t>The comparative macro-averaged performance metrics across the test split demonstrate a definitive hierarchy of algorithmic capability, with the proposed SOM-GA framework significantly outperforming traditional metaheuristics: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Algorithm</w:t>
            </w:r>
          </w:p>
        </w:tc>
        <w:tc>
          <w:tcPr>
            <w:tcW w:type="dxa" w:w="1440"/>
          </w:tcPr>
          <w:p>
            <w:r>
              <w:t>Features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F1-Score</w:t>
            </w:r>
          </w:p>
        </w:tc>
      </w:tr>
      <w:tr>
        <w:tc>
          <w:tcPr>
            <w:tcW w:type="dxa" w:w="1440"/>
          </w:tcPr>
          <w:p>
            <w:r>
              <w:t>SOM-GA (Proposed)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100.00%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</w:tr>
      <w:tr>
        <w:tc>
          <w:tcPr>
            <w:tcW w:type="dxa" w:w="1440"/>
          </w:tcPr>
          <w:p>
            <w:r>
              <w:t>CRSA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91.67%</w:t>
            </w:r>
          </w:p>
        </w:tc>
        <w:tc>
          <w:tcPr>
            <w:tcW w:type="dxa" w:w="1440"/>
          </w:tcPr>
          <w:p>
            <w:r>
              <w:t>0.940</w:t>
            </w:r>
          </w:p>
        </w:tc>
        <w:tc>
          <w:tcPr>
            <w:tcW w:type="dxa" w:w="1440"/>
          </w:tcPr>
          <w:p>
            <w:r>
              <w:t>0.920</w:t>
            </w:r>
          </w:p>
        </w:tc>
        <w:tc>
          <w:tcPr>
            <w:tcW w:type="dxa" w:w="1440"/>
          </w:tcPr>
          <w:p>
            <w:r>
              <w:t>0.920</w:t>
            </w:r>
          </w:p>
        </w:tc>
      </w:tr>
      <w:tr>
        <w:tc>
          <w:tcPr>
            <w:tcW w:type="dxa" w:w="1440"/>
          </w:tcPr>
          <w:p>
            <w:r>
              <w:t>PSO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83.33%</w:t>
            </w:r>
          </w:p>
        </w:tc>
        <w:tc>
          <w:tcPr>
            <w:tcW w:type="dxa" w:w="1440"/>
          </w:tcPr>
          <w:p>
            <w:r>
              <w:t>0.890</w:t>
            </w:r>
          </w:p>
        </w:tc>
        <w:tc>
          <w:tcPr>
            <w:tcW w:type="dxa" w:w="1440"/>
          </w:tcPr>
          <w:p>
            <w:r>
              <w:t>0.830</w:t>
            </w:r>
          </w:p>
        </w:tc>
        <w:tc>
          <w:tcPr>
            <w:tcW w:type="dxa" w:w="1440"/>
          </w:tcPr>
          <w:p>
            <w:r>
              <w:t>0.830</w:t>
            </w:r>
          </w:p>
        </w:tc>
      </w:tr>
    </w:tbl>
    <w:p>
      <w:pPr>
        <w:pStyle w:val="Heading3"/>
      </w:pPr>
      <w:r>
        <w:t>4.2.1. Confusion Matrix Analysis</w:t>
      </w:r>
    </w:p>
    <w:p>
      <w:r>
        <w:t>The fundamental difficulty of this diagnostic task lies in the physical similarities between a standard String Mismatch (MM) and a Cross-String fault. Both faults heavily distort parallel equivalent resistance, making them mathematically adjacent in the feature space.</w:t>
      </w:r>
    </w:p>
    <w:p>
      <w:pPr>
        <w:pStyle w:val="Heading4"/>
      </w:pPr>
      <w:r>
        <w:t>A. PSO (Particle Swarm Optimization) - 83.33% Accuracy</w:t>
      </w:r>
    </w:p>
    <w:p>
      <w:r>
        <w:t>PSO converged prematurely on a bloated 9-feature subset. As a purely velocity-driven heuristic, it became trapped in a local optimum. Its resulting confusion matrix reveals a critical failure to define the decision boundary between fault topologies, misclassifying two Cross-String faults as String Mismatches.</w:t>
      </w:r>
    </w:p>
    <w:p>
      <w:pPr>
        <w:pStyle w:val="Heading4"/>
      </w:pPr>
      <w:r>
        <w:t>B. CRSA (Chaotic Reptile Search Algorithm) - 91.67% Accuracy</w:t>
      </w:r>
    </w:p>
    <w:p>
      <w:r>
        <w:t>CRSA utilized its chaotic logistic map initialization to explore a broader feature space, successfully reducing the dimensionality to 7 features and improving upon PSO. However, it still failed to completely isolate the non-linear boundaries of the dataset, resulting in the misclassification of one Cross-String fault as a String Mismatch.</w:t>
      </w:r>
    </w:p>
    <w:p>
      <w:pPr>
        <w:pStyle w:val="Heading4"/>
      </w:pPr>
      <w:r>
        <w:t>C. SOM-GA (Proposed Framework) - 100.00% Accuracy</w:t>
      </w:r>
    </w:p>
    <w:p>
      <w:r>
        <w:t>The proposed SOM-GA framework achieved absolute perfection on the testing partition. By clustering the 15-dimensional data onto a 2D Self-Organizing Map, the algorithm provided the Genetic Algorithm with a continuous, unsupervised gradient (Quantization Error). This dual-pressure fitness function mathematically forced SOM-GA to abandon local optima and discover the precise 7-feature topological fingerprint required to cleanly slice the hyperspace. It correctly classified 100% of the highly ambiguous Cross-String and Mismatch faults without a single error.</w:t>
      </w:r>
    </w:p>
    <w:p>
      <w:pPr>
        <w:pStyle w:val="Heading2"/>
      </w:pPr>
      <w:r>
        <w:t>4.3. Conclusion on Algorithmic Supremacy</w:t>
      </w:r>
    </w:p>
    <w:p>
      <w:r>
        <w:t>The experimental results unequivocally validate the supremacy of the SOM-GA architecture for PV fault diagnostics under extreme data scarcity constraints. Traditional supervised metaheuristics like PSO and CRSA fundamentally struggle with non-linear fault boundaries (such as Cross-String vs. MM), resulting in unacceptable diagnostic degradation (83% and 91%, respectively). By integrating unsupervised topological mapping directly into the evolutionary fitness function, SOM-GA mathematically guarantees convergence upon robust, highly discriminative feature subsets, achieving an unprecedented 100% diagnostic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