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jc w:val="center"/>
      </w:pPr>
      <w:r>
        <w:rPr>
          <w:rFonts w:ascii="Arial" w:cs="Arial" w:eastAsia="Arial" w:hAnsi="Arial"/>
          <w:b/>
          <w:bCs/>
          <w:color w:val="1A3A5C"/>
          <w:sz w:val="56"/>
          <w:szCs w:val="56"/>
        </w:rPr>
        <w:t xml:space="preserve">CYBER CRIME INVESTIGATION</w:t>
      </w:r>
    </w:p>
    <w:p>
      <w:pPr>
        <w:spacing w:before="0" w:after="120"/>
        <w:jc w:val="center"/>
      </w:pPr>
      <w:r>
        <w:rPr>
          <w:rFonts w:ascii="Arial" w:cs="Arial" w:eastAsia="Arial" w:hAnsi="Arial"/>
          <w:b/>
          <w:bCs/>
          <w:color w:val="2E5A8E"/>
          <w:sz w:val="40"/>
          <w:szCs w:val="40"/>
        </w:rPr>
        <w:t xml:space="preserve">PROCEDURAL REFERENCE MANUAL</w:t>
      </w:r>
    </w:p>
    <w:p>
      <w:pPr>
        <w:spacing w:before="0" w:after="600"/>
        <w:jc w:val="center"/>
      </w:pPr>
      <w:r>
        <w:rPr>
          <w:rFonts w:ascii="Arial" w:cs="Arial" w:eastAsia="Arial" w:hAnsi="Arial"/>
          <w:i/>
          <w:iCs/>
          <w:color w:val="555555"/>
          <w:sz w:val="24"/>
          <w:szCs w:val="24"/>
        </w:rPr>
        <w:t xml:space="preserve">Mobile Device Hacking — End-to-End Authority Response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A5C" w:sz="1"/>
              <w:left w:val="single" w:color="1A3A5C" w:sz="1"/>
              <w:bottom w:val="single" w:color="1A3A5C" w:sz="1"/>
              <w:right w:val="single" w:color="1A3A5C" w:sz="1"/>
            </w:tcBorders>
            <w:shd w:fill="E8F0F7" w:val="clear"/>
            <w:tcMar>
              <w:top w:type="dxa" w:w="120"/>
              <w:left w:type="dxa" w:w="160"/>
              <w:bottom w:type="dxa" w:w="120"/>
              <w:right w:type="dxa" w:w="160"/>
            </w:tcMar>
          </w:tcPr>
          <w:p>
            <w:r>
              <w:rPr>
                <w:rFonts w:ascii="Arial" w:cs="Arial" w:eastAsia="Arial" w:hAnsi="Arial"/>
                <w:b/>
                <w:bCs/>
                <w:color w:val="1A3A5C"/>
                <w:sz w:val="20"/>
                <w:szCs w:val="20"/>
              </w:rPr>
              <w:t xml:space="preserve">Document Type</w:t>
            </w:r>
          </w:p>
          <w:p>
            <w:r>
              <w:rPr>
                <w:rFonts w:ascii="Arial" w:cs="Arial" w:eastAsia="Arial" w:hAnsi="Arial"/>
                <w:sz w:val="20"/>
                <w:szCs w:val="20"/>
              </w:rPr>
              <w:t xml:space="preserve">Official Procedural Reference</w:t>
            </w:r>
          </w:p>
        </w:tc>
        <w:tc>
          <w:tcPr>
            <w:tcW w:type="dxa" w:w="4680"/>
            <w:tcBorders>
              <w:top w:val="single" w:color="1A3A5C" w:sz="1"/>
              <w:left w:val="single" w:color="1A3A5C" w:sz="1"/>
              <w:bottom w:val="single" w:color="1A3A5C" w:sz="1"/>
              <w:right w:val="single" w:color="1A3A5C" w:sz="1"/>
            </w:tcBorders>
            <w:shd w:fill="E8F0F7" w:val="clear"/>
            <w:tcMar>
              <w:top w:type="dxa" w:w="120"/>
              <w:left w:type="dxa" w:w="160"/>
              <w:bottom w:type="dxa" w:w="120"/>
              <w:right w:type="dxa" w:w="160"/>
            </w:tcMar>
          </w:tcPr>
          <w:p>
            <w:r>
              <w:rPr>
                <w:rFonts w:ascii="Arial" w:cs="Arial" w:eastAsia="Arial" w:hAnsi="Arial"/>
                <w:b/>
                <w:bCs/>
                <w:color w:val="1A3A5C"/>
                <w:sz w:val="20"/>
                <w:szCs w:val="20"/>
              </w:rPr>
              <w:t xml:space="preserve">Jurisdiction Coverage</w:t>
            </w:r>
          </w:p>
          <w:p>
            <w:r>
              <w:rPr>
                <w:rFonts w:ascii="Arial" w:cs="Arial" w:eastAsia="Arial" w:hAnsi="Arial"/>
                <w:sz w:val="20"/>
                <w:szCs w:val="20"/>
              </w:rPr>
              <w:t xml:space="preserve">India (MHA/CERT-In) &amp; Global (Interpol/FBI)</w:t>
            </w:r>
          </w:p>
        </w:tc>
      </w:tr>
      <w:tr>
        <w:tc>
          <w:tcPr>
            <w:tcW w:type="dxa" w:w="4680"/>
            <w:tcBorders>
              <w:top w:val="single" w:color="1A3A5C" w:sz="1"/>
              <w:left w:val="single" w:color="1A3A5C" w:sz="1"/>
              <w:bottom w:val="single" w:color="1A3A5C" w:sz="1"/>
              <w:right w:val="single" w:color="1A3A5C" w:sz="1"/>
            </w:tcBorders>
            <w:shd w:fill="F5F8FC" w:val="clear"/>
            <w:tcMar>
              <w:top w:type="dxa" w:w="120"/>
              <w:left w:type="dxa" w:w="160"/>
              <w:bottom w:type="dxa" w:w="120"/>
              <w:right w:type="dxa" w:w="160"/>
            </w:tcMar>
          </w:tcPr>
          <w:p>
            <w:r>
              <w:rPr>
                <w:rFonts w:ascii="Arial" w:cs="Arial" w:eastAsia="Arial" w:hAnsi="Arial"/>
                <w:b/>
                <w:bCs/>
                <w:color w:val="1A3A5C"/>
                <w:sz w:val="20"/>
                <w:szCs w:val="20"/>
              </w:rPr>
              <w:t xml:space="preserve">Applicable To</w:t>
            </w:r>
          </w:p>
          <w:p>
            <w:r>
              <w:rPr>
                <w:rFonts w:ascii="Arial" w:cs="Arial" w:eastAsia="Arial" w:hAnsi="Arial"/>
                <w:sz w:val="20"/>
                <w:szCs w:val="20"/>
              </w:rPr>
              <w:t xml:space="preserve">Mobile Device Hacking Incidents</w:t>
            </w:r>
          </w:p>
        </w:tc>
        <w:tc>
          <w:tcPr>
            <w:tcW w:type="dxa" w:w="4680"/>
            <w:tcBorders>
              <w:top w:val="single" w:color="1A3A5C" w:sz="1"/>
              <w:left w:val="single" w:color="1A3A5C" w:sz="1"/>
              <w:bottom w:val="single" w:color="1A3A5C" w:sz="1"/>
              <w:right w:val="single" w:color="1A3A5C" w:sz="1"/>
            </w:tcBorders>
            <w:shd w:fill="F5F8FC" w:val="clear"/>
            <w:tcMar>
              <w:top w:type="dxa" w:w="120"/>
              <w:left w:type="dxa" w:w="160"/>
              <w:bottom w:type="dxa" w:w="120"/>
              <w:right w:type="dxa" w:w="160"/>
            </w:tcMar>
          </w:tcPr>
          <w:p>
            <w:r>
              <w:rPr>
                <w:rFonts w:ascii="Arial" w:cs="Arial" w:eastAsia="Arial" w:hAnsi="Arial"/>
                <w:b/>
                <w:bCs/>
                <w:color w:val="1A3A5C"/>
                <w:sz w:val="20"/>
                <w:szCs w:val="20"/>
              </w:rPr>
              <w:t xml:space="preserve">Primary References</w:t>
            </w:r>
          </w:p>
          <w:p>
            <w:r>
              <w:rPr>
                <w:rFonts w:ascii="Arial" w:cs="Arial" w:eastAsia="Arial" w:hAnsi="Arial"/>
                <w:sz w:val="20"/>
                <w:szCs w:val="20"/>
              </w:rPr>
              <w:t xml:space="preserve">IT Act 2000, Budapest Convention, MLAT</w:t>
            </w:r>
          </w:p>
        </w:tc>
      </w:tr>
    </w:tbl>
    <w:p>
      <w:pPr>
        <w:spacing w:before="80" w:after="80"/>
      </w:pPr>
      <w:r>
        <w:t xml:space="preserve"/>
      </w:r>
    </w:p>
    <w:p>
      <w:pPr>
        <w:pStyle w:val="Heading1"/>
        <w:pBdr>
          <w:bottom w:val="single" w:color="1A3A5C" w:sz="4" w:space="4"/>
        </w:pBdr>
        <w:spacing w:before="400" w:after="200"/>
      </w:pPr>
      <w:r>
        <w:rPr>
          <w:rFonts w:ascii="Arial" w:cs="Arial" w:eastAsia="Arial" w:hAnsi="Arial"/>
          <w:b/>
          <w:bCs/>
          <w:color w:val="1A3A5C"/>
          <w:sz w:val="32"/>
          <w:szCs w:val="32"/>
        </w:rPr>
        <w:t xml:space="preserve">1. INTRODUCTION &amp; SCOPE</w:t>
      </w:r>
    </w:p>
    <w:p>
      <w:pPr>
        <w:spacing w:before="60" w:after="80"/>
        <w:jc w:val="both"/>
      </w:pPr>
      <w:r>
        <w:rPr>
          <w:rFonts w:ascii="Arial" w:cs="Arial" w:eastAsia="Arial" w:hAnsi="Arial"/>
          <w:sz w:val="22"/>
          <w:szCs w:val="22"/>
        </w:rPr>
        <w:t xml:space="preserve">This manual outlines the standard operating procedures followed by law enforcement and cybercrime authorities when a civilian's mobile phone is reported as hacked. It covers the procedural workflow from initial complaint registration through investigation, evidence collection, and legal action — for both India and major global jurisdictions.</w:t>
      </w:r>
    </w:p>
    <w:p>
      <w:pPr>
        <w:spacing w:before="80" w:after="80"/>
      </w:pPr>
      <w:r>
        <w:t xml:space="preserve"/>
      </w:r>
    </w:p>
    <w:p>
      <w:pPr>
        <w:spacing w:before="60" w:after="80"/>
        <w:jc w:val="both"/>
      </w:pPr>
      <w:r>
        <w:rPr>
          <w:rFonts w:ascii="Arial" w:cs="Arial" w:eastAsia="Arial" w:hAnsi="Arial"/>
          <w:sz w:val="22"/>
          <w:szCs w:val="22"/>
        </w:rPr>
        <w:t xml:space="preserve">This document references frameworks established under:</w:t>
      </w:r>
    </w:p>
    <w:p>
      <w:pPr>
        <w:pStyle w:val="ListParagraph"/>
        <w:numPr>
          <w:ilvl w:val="0"/>
          <w:numId w:val="2"/>
        </w:numPr>
        <w:spacing w:before="40" w:after="40"/>
      </w:pPr>
      <w:r>
        <w:rPr>
          <w:rFonts w:ascii="Arial" w:cs="Arial" w:eastAsia="Arial" w:hAnsi="Arial"/>
          <w:sz w:val="22"/>
          <w:szCs w:val="22"/>
        </w:rPr>
        <w:t xml:space="preserve">Information Technology Act, 2000 (India) — Sections 43, 66, 66C, 66D, 72</w:t>
      </w:r>
    </w:p>
    <w:p>
      <w:pPr>
        <w:pStyle w:val="ListParagraph"/>
        <w:numPr>
          <w:ilvl w:val="0"/>
          <w:numId w:val="2"/>
        </w:numPr>
        <w:spacing w:before="40" w:after="40"/>
      </w:pPr>
      <w:r>
        <w:rPr>
          <w:rFonts w:ascii="Arial" w:cs="Arial" w:eastAsia="Arial" w:hAnsi="Arial"/>
          <w:sz w:val="22"/>
          <w:szCs w:val="22"/>
        </w:rPr>
        <w:t xml:space="preserve">IT (Amendment) Act, 2008</w:t>
      </w:r>
    </w:p>
    <w:p>
      <w:pPr>
        <w:pStyle w:val="ListParagraph"/>
        <w:numPr>
          <w:ilvl w:val="0"/>
          <w:numId w:val="2"/>
        </w:numPr>
        <w:spacing w:before="40" w:after="40"/>
      </w:pPr>
      <w:r>
        <w:rPr>
          <w:rFonts w:ascii="Arial" w:cs="Arial" w:eastAsia="Arial" w:hAnsi="Arial"/>
          <w:sz w:val="22"/>
          <w:szCs w:val="22"/>
        </w:rPr>
        <w:t xml:space="preserve">Budapest Convention on Cybercrime (Council of Europe)</w:t>
      </w:r>
    </w:p>
    <w:p>
      <w:pPr>
        <w:pStyle w:val="ListParagraph"/>
        <w:numPr>
          <w:ilvl w:val="0"/>
          <w:numId w:val="2"/>
        </w:numPr>
        <w:spacing w:before="40" w:after="40"/>
      </w:pPr>
      <w:r>
        <w:rPr>
          <w:rFonts w:ascii="Arial" w:cs="Arial" w:eastAsia="Arial" w:hAnsi="Arial"/>
          <w:sz w:val="22"/>
          <w:szCs w:val="22"/>
        </w:rPr>
        <w:t xml:space="preserve">MLAT — Mutual Legal Assistance Treaties (cross-border cases)</w:t>
      </w:r>
    </w:p>
    <w:p>
      <w:pPr>
        <w:pStyle w:val="ListParagraph"/>
        <w:numPr>
          <w:ilvl w:val="0"/>
          <w:numId w:val="2"/>
        </w:numPr>
        <w:spacing w:before="40" w:after="40"/>
      </w:pPr>
      <w:r>
        <w:rPr>
          <w:rFonts w:ascii="Arial" w:cs="Arial" w:eastAsia="Arial" w:hAnsi="Arial"/>
          <w:sz w:val="22"/>
          <w:szCs w:val="22"/>
        </w:rPr>
        <w:t xml:space="preserve">Interpol Cybercrime Directorate Procedures</w:t>
      </w:r>
    </w:p>
    <w:p>
      <w:pPr>
        <w:pStyle w:val="ListParagraph"/>
        <w:numPr>
          <w:ilvl w:val="0"/>
          <w:numId w:val="2"/>
        </w:numPr>
        <w:spacing w:before="40" w:after="40"/>
      </w:pPr>
      <w:r>
        <w:rPr>
          <w:rFonts w:ascii="Arial" w:cs="Arial" w:eastAsia="Arial" w:hAnsi="Arial"/>
          <w:sz w:val="22"/>
          <w:szCs w:val="22"/>
        </w:rPr>
        <w:t xml:space="preserve">FBI IC3 (Internet Crime Complaint Center) Guidelines</w:t>
      </w:r>
    </w:p>
    <w:p>
      <w:pPr>
        <w:spacing w:before="80" w:after="80"/>
      </w:pPr>
      <w:r>
        <w:t xml:space="preserve"/>
      </w:r>
    </w:p>
    <w:p>
      <w:pPr>
        <w:pStyle w:val="Heading1"/>
        <w:pBdr>
          <w:bottom w:val="single" w:color="1A3A5C" w:sz="4" w:space="4"/>
        </w:pBdr>
        <w:spacing w:before="400" w:after="200"/>
      </w:pPr>
      <w:r>
        <w:rPr>
          <w:rFonts w:ascii="Arial" w:cs="Arial" w:eastAsia="Arial" w:hAnsi="Arial"/>
          <w:b/>
          <w:bCs/>
          <w:color w:val="1A3A5C"/>
          <w:sz w:val="32"/>
          <w:szCs w:val="32"/>
        </w:rPr>
        <w:t xml:space="preserve">2. PHASE 1 — COMPLAINT REGISTRATION</w:t>
      </w:r>
    </w:p>
    <w:p>
      <w:pPr>
        <w:pStyle w:val="Heading2"/>
        <w:spacing w:before="280" w:after="120"/>
      </w:pPr>
      <w:r>
        <w:rPr>
          <w:rFonts w:ascii="Arial" w:cs="Arial" w:eastAsia="Arial" w:hAnsi="Arial"/>
          <w:b/>
          <w:bCs/>
          <w:color w:val="2E5A8E"/>
          <w:sz w:val="26"/>
          <w:szCs w:val="26"/>
        </w:rPr>
        <w:t xml:space="preserve">2.1 India — Filing a Complaint</w:t>
      </w:r>
    </w:p>
    <w:p>
      <w:pPr>
        <w:spacing w:before="60" w:after="80"/>
        <w:jc w:val="both"/>
      </w:pPr>
      <w:r>
        <w:rPr>
          <w:rFonts w:ascii="Arial" w:cs="Arial" w:eastAsia="Arial" w:hAnsi="Arial"/>
          <w:sz w:val="22"/>
          <w:szCs w:val="22"/>
        </w:rPr>
        <w:t xml:space="preserve">A victim of mobile phone hacking must first register a formal complaint. In India, the following channels are available: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STEP 1</w:t>
            </w:r>
          </w:p>
        </w:tc>
        <w:tc>
          <w:tcPr>
            <w:tcW w:type="dxa" w:w="8160"/>
            <w:tcBorders>
              <w:top w:val="single" w:color="1A3A5C" w:sz="1"/>
              <w:left w:val="single" w:color="1A3A5C" w:sz="1"/>
              <w:bottom w:val="single" w:color="1A3A5C" w:sz="1"/>
              <w:right w:val="single" w:color="1A3A5C" w:sz="1"/>
            </w:tcBorders>
            <w:shd w:fill="E8F0F7" w:val="clear"/>
            <w:tcMar>
              <w:top w:type="dxa" w:w="100"/>
              <w:left w:type="dxa" w:w="160"/>
              <w:bottom w:type="dxa" w:w="100"/>
              <w:right w:type="dxa" w:w="120"/>
            </w:tcMar>
          </w:tcPr>
          <w:p>
            <w:r>
              <w:rPr>
                <w:rFonts w:ascii="Arial" w:cs="Arial" w:eastAsia="Arial" w:hAnsi="Arial"/>
                <w:b/>
                <w:bCs/>
                <w:color w:val="1A3A5C"/>
                <w:sz w:val="22"/>
                <w:szCs w:val="22"/>
              </w:rPr>
              <w:t xml:space="preserve">Online Portal — cybercrime.gov.in</w:t>
            </w:r>
          </w:p>
          <w:p>
            <w:pPr>
              <w:spacing w:before="40"/>
            </w:pPr>
            <w:r>
              <w:rPr>
                <w:rFonts w:ascii="Arial" w:cs="Arial" w:eastAsia="Arial" w:hAnsi="Arial"/>
                <w:sz w:val="20"/>
                <w:szCs w:val="20"/>
              </w:rPr>
              <w:t xml:space="preserve">Visit the National Cyber Crime Reporting Portal. Select 'Report Cyber Crime'. Fill in personal details, describe the incident, and upload evidence (screenshots, logs). A complaint reference number (CRN) is issued immediately.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STEP 2</w:t>
            </w:r>
          </w:p>
        </w:tc>
        <w:tc>
          <w:tcPr>
            <w:tcW w:type="dxa" w:w="8160"/>
            <w:tcBorders>
              <w:top w:val="single" w:color="1A3A5C" w:sz="1"/>
              <w:left w:val="single" w:color="1A3A5C" w:sz="1"/>
              <w:bottom w:val="single" w:color="1A3A5C" w:sz="1"/>
              <w:right w:val="single" w:color="1A3A5C" w:sz="1"/>
            </w:tcBorders>
            <w:shd w:fill="E8F0F7" w:val="clear"/>
            <w:tcMar>
              <w:top w:type="dxa" w:w="100"/>
              <w:left w:type="dxa" w:w="160"/>
              <w:bottom w:type="dxa" w:w="100"/>
              <w:right w:type="dxa" w:w="120"/>
            </w:tcMar>
          </w:tcPr>
          <w:p>
            <w:r>
              <w:rPr>
                <w:rFonts w:ascii="Arial" w:cs="Arial" w:eastAsia="Arial" w:hAnsi="Arial"/>
                <w:b/>
                <w:bCs/>
                <w:color w:val="1A3A5C"/>
                <w:sz w:val="22"/>
                <w:szCs w:val="22"/>
              </w:rPr>
              <w:t xml:space="preserve">Helpline — Dial 1930</w:t>
            </w:r>
          </w:p>
          <w:p>
            <w:pPr>
              <w:spacing w:before="40"/>
            </w:pPr>
            <w:r>
              <w:rPr>
                <w:rFonts w:ascii="Arial" w:cs="Arial" w:eastAsia="Arial" w:hAnsi="Arial"/>
                <w:sz w:val="20"/>
                <w:szCs w:val="20"/>
              </w:rPr>
              <w:t xml:space="preserve">The National Cyber Crime Helpline is active 24/7. For financial fraud cases, funds can be frozen within hours if reported immediately. The operator registers the complaint and forwards it to the relevant Cyber Cell.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STEP 3</w:t>
            </w:r>
          </w:p>
        </w:tc>
        <w:tc>
          <w:tcPr>
            <w:tcW w:type="dxa" w:w="8160"/>
            <w:tcBorders>
              <w:top w:val="single" w:color="1A3A5C" w:sz="1"/>
              <w:left w:val="single" w:color="1A3A5C" w:sz="1"/>
              <w:bottom w:val="single" w:color="1A3A5C" w:sz="1"/>
              <w:right w:val="single" w:color="1A3A5C" w:sz="1"/>
            </w:tcBorders>
            <w:shd w:fill="E8F0F7" w:val="clear"/>
            <w:tcMar>
              <w:top w:type="dxa" w:w="100"/>
              <w:left w:type="dxa" w:w="160"/>
              <w:bottom w:type="dxa" w:w="100"/>
              <w:right w:type="dxa" w:w="120"/>
            </w:tcMar>
          </w:tcPr>
          <w:p>
            <w:r>
              <w:rPr>
                <w:rFonts w:ascii="Arial" w:cs="Arial" w:eastAsia="Arial" w:hAnsi="Arial"/>
                <w:b/>
                <w:bCs/>
                <w:color w:val="1A3A5C"/>
                <w:sz w:val="22"/>
                <w:szCs w:val="22"/>
              </w:rPr>
              <w:t xml:space="preserve">Local Police Station (FIR)</w:t>
            </w:r>
          </w:p>
          <w:p>
            <w:pPr>
              <w:spacing w:before="40"/>
            </w:pPr>
            <w:r>
              <w:rPr>
                <w:rFonts w:ascii="Arial" w:cs="Arial" w:eastAsia="Arial" w:hAnsi="Arial"/>
                <w:sz w:val="20"/>
                <w:szCs w:val="20"/>
              </w:rPr>
              <w:t xml:space="preserve">Visit the nearest police station and request an FIR under Section 66 of the IT Act. Police are legally obligated to register the complaint. Ensure you receive a stamped copy of the FIR.</w:t>
            </w:r>
          </w:p>
        </w:tc>
      </w:tr>
    </w:tbl>
    <w:p>
      <w:pPr>
        <w:spacing w:before="80" w:after="80"/>
      </w:pPr>
      <w:r>
        <w:t xml:space="preserve"/>
      </w:r>
    </w:p>
    <w:p>
      <w:pPr>
        <w:pStyle w:val="Heading2"/>
        <w:spacing w:before="280" w:after="120"/>
      </w:pPr>
      <w:r>
        <w:rPr>
          <w:rFonts w:ascii="Arial" w:cs="Arial" w:eastAsia="Arial" w:hAnsi="Arial"/>
          <w:b/>
          <w:bCs/>
          <w:color w:val="2E5A8E"/>
          <w:sz w:val="26"/>
          <w:szCs w:val="26"/>
        </w:rPr>
        <w:t xml:space="preserve">2.2 Global — Filing a Complaint</w:t>
      </w:r>
    </w:p>
    <w:p>
      <w:pPr>
        <w:pStyle w:val="ListParagraph"/>
        <w:numPr>
          <w:ilvl w:val="0"/>
          <w:numId w:val="2"/>
        </w:numPr>
        <w:spacing w:before="40" w:after="40"/>
      </w:pPr>
      <w:r>
        <w:rPr>
          <w:rFonts w:ascii="Arial" w:cs="Arial" w:eastAsia="Arial" w:hAnsi="Arial"/>
          <w:sz w:val="22"/>
          <w:szCs w:val="22"/>
        </w:rPr>
        <w:t xml:space="preserve">USA: File at ic3.gov (FBI Internet Crime Complaint Center). A complaint ID is issued within 24 hours.</w:t>
      </w:r>
    </w:p>
    <w:p>
      <w:pPr>
        <w:pStyle w:val="ListParagraph"/>
        <w:numPr>
          <w:ilvl w:val="0"/>
          <w:numId w:val="2"/>
        </w:numPr>
        <w:spacing w:before="40" w:after="40"/>
      </w:pPr>
      <w:r>
        <w:rPr>
          <w:rFonts w:ascii="Arial" w:cs="Arial" w:eastAsia="Arial" w:hAnsi="Arial"/>
          <w:sz w:val="22"/>
          <w:szCs w:val="22"/>
        </w:rPr>
        <w:t xml:space="preserve">UK: Report to Action Fraud at actionfraud.police.uk or call 0300 123 2040.</w:t>
      </w:r>
    </w:p>
    <w:p>
      <w:pPr>
        <w:pStyle w:val="ListParagraph"/>
        <w:numPr>
          <w:ilvl w:val="0"/>
          <w:numId w:val="2"/>
        </w:numPr>
        <w:spacing w:before="40" w:after="40"/>
      </w:pPr>
      <w:r>
        <w:rPr>
          <w:rFonts w:ascii="Arial" w:cs="Arial" w:eastAsia="Arial" w:hAnsi="Arial"/>
          <w:sz w:val="22"/>
          <w:szCs w:val="22"/>
        </w:rPr>
        <w:t xml:space="preserve">EU: Contact your national CERT or Europol at europol.europa.eu/report-a-crime.</w:t>
      </w:r>
    </w:p>
    <w:p>
      <w:pPr>
        <w:pStyle w:val="ListParagraph"/>
        <w:numPr>
          <w:ilvl w:val="0"/>
          <w:numId w:val="2"/>
        </w:numPr>
        <w:spacing w:before="40" w:after="40"/>
      </w:pPr>
      <w:r>
        <w:rPr>
          <w:rFonts w:ascii="Arial" w:cs="Arial" w:eastAsia="Arial" w:hAnsi="Arial"/>
          <w:sz w:val="22"/>
          <w:szCs w:val="22"/>
        </w:rPr>
        <w:t xml:space="preserve">Australia: Report to the Australian Cyber Security Centre (ACSC) at cyber.gov.au.</w:t>
      </w:r>
    </w:p>
    <w:p>
      <w:pPr>
        <w:pStyle w:val="ListParagraph"/>
        <w:numPr>
          <w:ilvl w:val="0"/>
          <w:numId w:val="2"/>
        </w:numPr>
        <w:spacing w:before="40" w:after="40"/>
      </w:pPr>
      <w:r>
        <w:rPr>
          <w:rFonts w:ascii="Arial" w:cs="Arial" w:eastAsia="Arial" w:hAnsi="Arial"/>
          <w:sz w:val="22"/>
          <w:szCs w:val="22"/>
        </w:rPr>
        <w:t xml:space="preserve">Singapore: File at the Singapore Police Force e-Report portal at spf.gov.sg.</w:t>
      </w:r>
    </w:p>
    <w:p>
      <w:pPr>
        <w:spacing w:before="80" w:after="80"/>
      </w:pPr>
      <w:r>
        <w:t xml:space="preserve"/>
      </w:r>
    </w:p>
    <w:p>
      <w:pPr>
        <w:pStyle w:val="Heading1"/>
        <w:pBdr>
          <w:bottom w:val="single" w:color="1A3A5C" w:sz="4" w:space="4"/>
        </w:pBdr>
        <w:spacing w:before="400" w:after="200"/>
      </w:pPr>
      <w:r>
        <w:rPr>
          <w:rFonts w:ascii="Arial" w:cs="Arial" w:eastAsia="Arial" w:hAnsi="Arial"/>
          <w:b/>
          <w:bCs/>
          <w:color w:val="1A3A5C"/>
          <w:sz w:val="32"/>
          <w:szCs w:val="32"/>
        </w:rPr>
        <w:t xml:space="preserve">3. PHASE 2 — TRIAGE &amp; ROUTING</w:t>
      </w:r>
    </w:p>
    <w:p>
      <w:pPr>
        <w:spacing w:before="60" w:after="80"/>
        <w:jc w:val="both"/>
      </w:pPr>
      <w:r>
        <w:rPr>
          <w:rFonts w:ascii="Arial" w:cs="Arial" w:eastAsia="Arial" w:hAnsi="Arial"/>
          <w:sz w:val="22"/>
          <w:szCs w:val="22"/>
        </w:rPr>
        <w:t xml:space="preserve">Once a complaint is registered, the authority performs an initial triage to assess severity and route it to the appropriate unit.</w:t>
      </w:r>
    </w:p>
    <w:p>
      <w:pPr>
        <w:spacing w:before="80" w:after="80"/>
      </w:pPr>
      <w:r>
        <w:t xml:space="preserve"/>
      </w:r>
    </w:p>
    <w:p>
      <w:pPr>
        <w:pStyle w:val="Heading2"/>
        <w:spacing w:before="280" w:after="120"/>
      </w:pPr>
      <w:r>
        <w:rPr>
          <w:rFonts w:ascii="Arial" w:cs="Arial" w:eastAsia="Arial" w:hAnsi="Arial"/>
          <w:b/>
          <w:bCs/>
          <w:color w:val="2E5A8E"/>
          <w:sz w:val="26"/>
          <w:szCs w:val="26"/>
        </w:rPr>
        <w:t xml:space="preserve">3.1 Triage Criteria</w:t>
      </w:r>
    </w:p>
    <w:p>
      <w:pPr>
        <w:spacing w:before="60" w:after="80"/>
        <w:jc w:val="both"/>
      </w:pPr>
      <w:r>
        <w:rPr>
          <w:rFonts w:ascii="Arial" w:cs="Arial" w:eastAsia="Arial" w:hAnsi="Arial"/>
          <w:sz w:val="22"/>
          <w:szCs w:val="22"/>
        </w:rPr>
        <w:t xml:space="preserve">Complaints are classified by severity: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Priority</w:t>
            </w:r>
          </w:p>
        </w:tc>
        <w:tc>
          <w:tcPr>
            <w:tcW w:type="dxa" w:w="3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Criteria</w:t>
            </w:r>
          </w:p>
        </w:tc>
        <w:tc>
          <w:tcPr>
            <w:tcW w:type="dxa" w:w="3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Routing</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C0392B"/>
                <w:sz w:val="20"/>
                <w:szCs w:val="20"/>
              </w:rPr>
              <w:t xml:space="preserve">HIGH</w:t>
            </w:r>
          </w:p>
        </w:tc>
        <w:tc>
          <w:tcPr>
            <w:tcW w:type="dxa" w:w="3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Financial fraud, data theft, corporate/govt device</w:t>
            </w:r>
          </w:p>
        </w:tc>
        <w:tc>
          <w:tcPr>
            <w:tcW w:type="dxa" w:w="3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Directly to Cyber Crime Cell within 24 hrs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MEDIUM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Identity theft, social media account hijack</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Cyber Cell within 3-7 days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27AE60"/>
                <w:sz w:val="20"/>
                <w:szCs w:val="20"/>
              </w:rPr>
              <w:t xml:space="preserve">LOW</w:t>
            </w:r>
          </w:p>
        </w:tc>
        <w:tc>
          <w:tcPr>
            <w:tcW w:type="dxa" w:w="3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Suspected tracking, spam, unknown apps</w:t>
            </w:r>
          </w:p>
        </w:tc>
        <w:tc>
          <w:tcPr>
            <w:tcW w:type="dxa" w:w="3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 police handles, Cyber Cell if escalated</w:t>
            </w:r>
          </w:p>
        </w:tc>
      </w:tr>
    </w:tbl>
    <w:p>
      <w:pPr>
        <w:spacing w:before="80" w:after="80"/>
      </w:pPr>
      <w:r>
        <w:t xml:space="preserve"/>
      </w:r>
    </w:p>
    <w:p>
      <w:pPr>
        <w:pStyle w:val="Heading1"/>
        <w:pBdr>
          <w:bottom w:val="single" w:color="1A3A5C" w:sz="4" w:space="4"/>
        </w:pBdr>
        <w:spacing w:before="400" w:after="200"/>
      </w:pPr>
      <w:r>
        <w:rPr>
          <w:rFonts w:ascii="Arial" w:cs="Arial" w:eastAsia="Arial" w:hAnsi="Arial"/>
          <w:b/>
          <w:bCs/>
          <w:color w:val="1A3A5C"/>
          <w:sz w:val="32"/>
          <w:szCs w:val="32"/>
        </w:rPr>
        <w:t xml:space="preserve">4. PHASE 3 — CYBER CELL INVESTIGATION PROCEDURE</w:t>
      </w:r>
    </w:p>
    <w:p>
      <w:pPr>
        <w:pStyle w:val="Heading2"/>
        <w:spacing w:before="280" w:after="120"/>
      </w:pPr>
      <w:r>
        <w:rPr>
          <w:rFonts w:ascii="Arial" w:cs="Arial" w:eastAsia="Arial" w:hAnsi="Arial"/>
          <w:b/>
          <w:bCs/>
          <w:color w:val="2E5A8E"/>
          <w:sz w:val="26"/>
          <w:szCs w:val="26"/>
        </w:rPr>
        <w:t xml:space="preserve">4.1 Evidence Collection</w:t>
      </w:r>
    </w:p>
    <w:p>
      <w:pPr>
        <w:spacing w:before="60" w:after="80"/>
        <w:jc w:val="both"/>
      </w:pPr>
      <w:r>
        <w:rPr>
          <w:rFonts w:ascii="Arial" w:cs="Arial" w:eastAsia="Arial" w:hAnsi="Arial"/>
          <w:sz w:val="22"/>
          <w:szCs w:val="22"/>
        </w:rPr>
        <w:t xml:space="preserve">Upon receiving the case, the Cyber Crime Cell begins technical investigation. Standard evidence collection steps include: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STEP 1</w:t>
            </w:r>
          </w:p>
        </w:tc>
        <w:tc>
          <w:tcPr>
            <w:tcW w:type="dxa" w:w="8160"/>
            <w:tcBorders>
              <w:top w:val="single" w:color="1A3A5C" w:sz="1"/>
              <w:left w:val="single" w:color="1A3A5C" w:sz="1"/>
              <w:bottom w:val="single" w:color="1A3A5C" w:sz="1"/>
              <w:right w:val="single" w:color="1A3A5C" w:sz="1"/>
            </w:tcBorders>
            <w:shd w:fill="E8F0F7" w:val="clear"/>
            <w:tcMar>
              <w:top w:type="dxa" w:w="100"/>
              <w:left w:type="dxa" w:w="160"/>
              <w:bottom w:type="dxa" w:w="100"/>
              <w:right w:type="dxa" w:w="120"/>
            </w:tcMar>
          </w:tcPr>
          <w:p>
            <w:r>
              <w:rPr>
                <w:rFonts w:ascii="Arial" w:cs="Arial" w:eastAsia="Arial" w:hAnsi="Arial"/>
                <w:b/>
                <w:bCs/>
                <w:color w:val="1A3A5C"/>
                <w:sz w:val="22"/>
                <w:szCs w:val="22"/>
              </w:rPr>
              <w:t xml:space="preserve">Secure the Device</w:t>
            </w:r>
          </w:p>
          <w:p>
            <w:pPr>
              <w:spacing w:before="40"/>
            </w:pPr>
            <w:r>
              <w:rPr>
                <w:rFonts w:ascii="Arial" w:cs="Arial" w:eastAsia="Arial" w:hAnsi="Arial"/>
                <w:sz w:val="20"/>
                <w:szCs w:val="20"/>
              </w:rPr>
              <w:t xml:space="preserve">Victim is asked to bring the device for forensic imaging. Device is placed in Faraday bag to prevent remote wipe. A bit-by-bit forensic copy (image) is made using tools such as Cellebrite UFED or Oxygen Forensic Detective.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STEP 2</w:t>
            </w:r>
          </w:p>
        </w:tc>
        <w:tc>
          <w:tcPr>
            <w:tcW w:type="dxa" w:w="8160"/>
            <w:tcBorders>
              <w:top w:val="single" w:color="1A3A5C" w:sz="1"/>
              <w:left w:val="single" w:color="1A3A5C" w:sz="1"/>
              <w:bottom w:val="single" w:color="1A3A5C" w:sz="1"/>
              <w:right w:val="single" w:color="1A3A5C" w:sz="1"/>
            </w:tcBorders>
            <w:shd w:fill="E8F0F7" w:val="clear"/>
            <w:tcMar>
              <w:top w:type="dxa" w:w="100"/>
              <w:left w:type="dxa" w:w="160"/>
              <w:bottom w:type="dxa" w:w="100"/>
              <w:right w:type="dxa" w:w="120"/>
            </w:tcMar>
          </w:tcPr>
          <w:p>
            <w:r>
              <w:rPr>
                <w:rFonts w:ascii="Arial" w:cs="Arial" w:eastAsia="Arial" w:hAnsi="Arial"/>
                <w:b/>
                <w:bCs/>
                <w:color w:val="1A3A5C"/>
                <w:sz w:val="22"/>
                <w:szCs w:val="22"/>
              </w:rPr>
              <w:t xml:space="preserve">Network &amp; Log Analysis</w:t>
            </w:r>
          </w:p>
          <w:p>
            <w:pPr>
              <w:spacing w:before="40"/>
            </w:pPr>
            <w:r>
              <w:rPr>
                <w:rFonts w:ascii="Arial" w:cs="Arial" w:eastAsia="Arial" w:hAnsi="Arial"/>
                <w:sz w:val="20"/>
                <w:szCs w:val="20"/>
              </w:rPr>
              <w:t xml:space="preserve">Call data records (CDR) and tower dump data are obtained via formal request to the telecom operator (Jio, Airtel, BSNL, etc.) under Section 92 CrPC. IP logs are requested from ISPs.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STEP 3</w:t>
            </w:r>
          </w:p>
        </w:tc>
        <w:tc>
          <w:tcPr>
            <w:tcW w:type="dxa" w:w="8160"/>
            <w:tcBorders>
              <w:top w:val="single" w:color="1A3A5C" w:sz="1"/>
              <w:left w:val="single" w:color="1A3A5C" w:sz="1"/>
              <w:bottom w:val="single" w:color="1A3A5C" w:sz="1"/>
              <w:right w:val="single" w:color="1A3A5C" w:sz="1"/>
            </w:tcBorders>
            <w:shd w:fill="E8F0F7" w:val="clear"/>
            <w:tcMar>
              <w:top w:type="dxa" w:w="100"/>
              <w:left w:type="dxa" w:w="160"/>
              <w:bottom w:type="dxa" w:w="100"/>
              <w:right w:type="dxa" w:w="120"/>
            </w:tcMar>
          </w:tcPr>
          <w:p>
            <w:r>
              <w:rPr>
                <w:rFonts w:ascii="Arial" w:cs="Arial" w:eastAsia="Arial" w:hAnsi="Arial"/>
                <w:b/>
                <w:bCs/>
                <w:color w:val="1A3A5C"/>
                <w:sz w:val="22"/>
                <w:szCs w:val="22"/>
              </w:rPr>
              <w:t xml:space="preserve">Platform Data Requests</w:t>
            </w:r>
          </w:p>
          <w:p>
            <w:pPr>
              <w:spacing w:before="40"/>
            </w:pPr>
            <w:r>
              <w:rPr>
                <w:rFonts w:ascii="Arial" w:cs="Arial" w:eastAsia="Arial" w:hAnsi="Arial"/>
                <w:sz w:val="20"/>
                <w:szCs w:val="20"/>
              </w:rPr>
              <w:t xml:space="preserve">Legal requests (subpoenas / court orders) are issued to platforms like Google, Meta (WhatsApp/Instagram), Apple, and Microsoft. In India, platforms must respond within 72 hours for emergencies and 7 days for standard requests under IT Rules 2021.</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STEP 4</w:t>
            </w:r>
          </w:p>
        </w:tc>
        <w:tc>
          <w:tcPr>
            <w:tcW w:type="dxa" w:w="8160"/>
            <w:tcBorders>
              <w:top w:val="single" w:color="1A3A5C" w:sz="1"/>
              <w:left w:val="single" w:color="1A3A5C" w:sz="1"/>
              <w:bottom w:val="single" w:color="1A3A5C" w:sz="1"/>
              <w:right w:val="single" w:color="1A3A5C" w:sz="1"/>
            </w:tcBorders>
            <w:shd w:fill="E8F0F7" w:val="clear"/>
            <w:tcMar>
              <w:top w:type="dxa" w:w="100"/>
              <w:left w:type="dxa" w:w="160"/>
              <w:bottom w:type="dxa" w:w="100"/>
              <w:right w:type="dxa" w:w="120"/>
            </w:tcMar>
          </w:tcPr>
          <w:p>
            <w:r>
              <w:rPr>
                <w:rFonts w:ascii="Arial" w:cs="Arial" w:eastAsia="Arial" w:hAnsi="Arial"/>
                <w:b/>
                <w:bCs/>
                <w:color w:val="1A3A5C"/>
                <w:sz w:val="22"/>
                <w:szCs w:val="22"/>
              </w:rPr>
              <w:t xml:space="preserve">Malware / Spyware Analysis</w:t>
            </w:r>
          </w:p>
          <w:p>
            <w:pPr>
              <w:spacing w:before="40"/>
            </w:pPr>
            <w:r>
              <w:rPr>
                <w:rFonts w:ascii="Arial" w:cs="Arial" w:eastAsia="Arial" w:hAnsi="Arial"/>
                <w:sz w:val="20"/>
                <w:szCs w:val="20"/>
              </w:rPr>
              <w:t xml:space="preserve">If spyware (e.g. Pegasus, stalkerware) is suspected, the device image is analysed in an isolated sandbox. The malware is reverse-engineered to identify the C&amp;C (command and control) server and origin.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STEP 5</w:t>
            </w:r>
          </w:p>
        </w:tc>
        <w:tc>
          <w:tcPr>
            <w:tcW w:type="dxa" w:w="8160"/>
            <w:tcBorders>
              <w:top w:val="single" w:color="1A3A5C" w:sz="1"/>
              <w:left w:val="single" w:color="1A3A5C" w:sz="1"/>
              <w:bottom w:val="single" w:color="1A3A5C" w:sz="1"/>
              <w:right w:val="single" w:color="1A3A5C" w:sz="1"/>
            </w:tcBorders>
            <w:shd w:fill="E8F0F7" w:val="clear"/>
            <w:tcMar>
              <w:top w:type="dxa" w:w="100"/>
              <w:left w:type="dxa" w:w="160"/>
              <w:bottom w:type="dxa" w:w="100"/>
              <w:right w:type="dxa" w:w="120"/>
            </w:tcMar>
          </w:tcPr>
          <w:p>
            <w:r>
              <w:rPr>
                <w:rFonts w:ascii="Arial" w:cs="Arial" w:eastAsia="Arial" w:hAnsi="Arial"/>
                <w:b/>
                <w:bCs/>
                <w:color w:val="1A3A5C"/>
                <w:sz w:val="22"/>
                <w:szCs w:val="22"/>
              </w:rPr>
              <w:t xml:space="preserve">IP Tracing &amp; Attribution</w:t>
            </w:r>
          </w:p>
          <w:p>
            <w:pPr>
              <w:spacing w:before="40"/>
            </w:pPr>
            <w:r>
              <w:rPr>
                <w:rFonts w:ascii="Arial" w:cs="Arial" w:eastAsia="Arial" w:hAnsi="Arial"/>
                <w:sz w:val="20"/>
                <w:szCs w:val="20"/>
              </w:rPr>
              <w:t xml:space="preserve">WHOIS lookups, geolocation, and VPN unwrapping are performed. International IP addresses trigger MLAT requests to the relevant country. Cryptocurrency tracing (if ransomware) via blockchain analytics tools such as Chainalysis.</w:t>
            </w:r>
          </w:p>
        </w:tc>
      </w:tr>
    </w:tbl>
    <w:p>
      <w:pPr>
        <w:spacing w:before="80" w:after="80"/>
      </w:pPr>
      <w:r>
        <w:t xml:space="preserve"/>
      </w:r>
    </w:p>
    <w:p>
      <w:pPr>
        <w:pStyle w:val="Heading2"/>
        <w:spacing w:before="280" w:after="120"/>
      </w:pPr>
      <w:r>
        <w:rPr>
          <w:rFonts w:ascii="Arial" w:cs="Arial" w:eastAsia="Arial" w:hAnsi="Arial"/>
          <w:b/>
          <w:bCs/>
          <w:color w:val="2E5A8E"/>
          <w:sz w:val="26"/>
          <w:szCs w:val="26"/>
        </w:rPr>
        <w:t xml:space="preserve">4.2 Legal Authorization Requirements</w:t>
      </w:r>
    </w:p>
    <w:p>
      <w:pPr>
        <w:spacing w:before="60" w:after="80"/>
        <w:jc w:val="both"/>
      </w:pPr>
      <w:r>
        <w:rPr>
          <w:rFonts w:ascii="Arial" w:cs="Arial" w:eastAsia="Arial" w:hAnsi="Arial"/>
          <w:sz w:val="22"/>
          <w:szCs w:val="22"/>
        </w:rPr>
        <w:t xml:space="preserve">The following legal instruments are used at various stages of investigation:</w:t>
      </w:r>
    </w:p>
    <w:p>
      <w:pPr>
        <w:pStyle w:val="ListParagraph"/>
        <w:numPr>
          <w:ilvl w:val="0"/>
          <w:numId w:val="2"/>
        </w:numPr>
        <w:spacing w:before="40" w:after="40"/>
      </w:pPr>
      <w:r>
        <w:rPr>
          <w:rFonts w:ascii="Arial" w:cs="Arial" w:eastAsia="Arial" w:hAnsi="Arial"/>
          <w:sz w:val="22"/>
          <w:szCs w:val="22"/>
        </w:rPr>
        <w:t xml:space="preserve">Section 91 CrPC — Summons to produce documents or device</w:t>
      </w:r>
    </w:p>
    <w:p>
      <w:pPr>
        <w:pStyle w:val="ListParagraph"/>
        <w:numPr>
          <w:ilvl w:val="0"/>
          <w:numId w:val="2"/>
        </w:numPr>
        <w:spacing w:before="40" w:after="40"/>
      </w:pPr>
      <w:r>
        <w:rPr>
          <w:rFonts w:ascii="Arial" w:cs="Arial" w:eastAsia="Arial" w:hAnsi="Arial"/>
          <w:sz w:val="22"/>
          <w:szCs w:val="22"/>
        </w:rPr>
        <w:t xml:space="preserve">Section 93 CrPC — Search &amp; seizure warrant</w:t>
      </w:r>
    </w:p>
    <w:p>
      <w:pPr>
        <w:pStyle w:val="ListParagraph"/>
        <w:numPr>
          <w:ilvl w:val="0"/>
          <w:numId w:val="2"/>
        </w:numPr>
        <w:spacing w:before="40" w:after="40"/>
      </w:pPr>
      <w:r>
        <w:rPr>
          <w:rFonts w:ascii="Arial" w:cs="Arial" w:eastAsia="Arial" w:hAnsi="Arial"/>
          <w:sz w:val="22"/>
          <w:szCs w:val="22"/>
        </w:rPr>
        <w:t xml:space="preserve">Section 69 IT Act — Government interception / monitoring order</w:t>
      </w:r>
    </w:p>
    <w:p>
      <w:pPr>
        <w:pStyle w:val="ListParagraph"/>
        <w:numPr>
          <w:ilvl w:val="0"/>
          <w:numId w:val="2"/>
        </w:numPr>
        <w:spacing w:before="40" w:after="40"/>
      </w:pPr>
      <w:r>
        <w:rPr>
          <w:rFonts w:ascii="Arial" w:cs="Arial" w:eastAsia="Arial" w:hAnsi="Arial"/>
          <w:sz w:val="22"/>
          <w:szCs w:val="22"/>
        </w:rPr>
        <w:t xml:space="preserve">Section 80 IT Act — Police power to search without warrant (in exigency)</w:t>
      </w:r>
    </w:p>
    <w:p>
      <w:pPr>
        <w:pStyle w:val="ListParagraph"/>
        <w:numPr>
          <w:ilvl w:val="0"/>
          <w:numId w:val="2"/>
        </w:numPr>
        <w:spacing w:before="40" w:after="40"/>
      </w:pPr>
      <w:r>
        <w:rPr>
          <w:rFonts w:ascii="Arial" w:cs="Arial" w:eastAsia="Arial" w:hAnsi="Arial"/>
          <w:sz w:val="22"/>
          <w:szCs w:val="22"/>
        </w:rPr>
        <w:t xml:space="preserve">Court Order / Judicial Authorization — Required for accessing encrypted content</w:t>
      </w:r>
    </w:p>
    <w:p>
      <w:pPr>
        <w:spacing w:before="80" w:after="80"/>
      </w:pPr>
      <w:r>
        <w:t xml:space="preserve"/>
      </w:r>
    </w:p>
    <w:p>
      <w:pPr>
        <w:pStyle w:val="Heading1"/>
        <w:pBdr>
          <w:bottom w:val="single" w:color="1A3A5C" w:sz="4" w:space="4"/>
        </w:pBdr>
        <w:spacing w:before="400" w:after="200"/>
      </w:pPr>
      <w:r>
        <w:rPr>
          <w:rFonts w:ascii="Arial" w:cs="Arial" w:eastAsia="Arial" w:hAnsi="Arial"/>
          <w:b/>
          <w:bCs/>
          <w:color w:val="1A3A5C"/>
          <w:sz w:val="32"/>
          <w:szCs w:val="32"/>
        </w:rPr>
        <w:t xml:space="preserve">5. PHASE 4 — TIMELINE: INDIA</w:t>
      </w:r>
    </w:p>
    <w:p>
      <w:pPr>
        <w:spacing w:before="60" w:after="80"/>
        <w:jc w:val="both"/>
      </w:pPr>
      <w:r>
        <w:rPr>
          <w:rFonts w:ascii="Arial" w:cs="Arial" w:eastAsia="Arial" w:hAnsi="Arial"/>
          <w:sz w:val="22"/>
          <w:szCs w:val="22"/>
        </w:rPr>
        <w:t xml:space="preserve">The following table reflects the standard procedural timeline for a mobile device hacking complaint in India, from initial report to actionable outcome: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Stage</w:t>
            </w:r>
          </w:p>
        </w:tc>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Estimated Time</w:t>
            </w:r>
          </w:p>
        </w:tc>
        <w:tc>
          <w:tcPr>
            <w:tcW w:type="dxa" w:w="3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Responsible Authority</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sz w:val="20"/>
                <w:szCs w:val="20"/>
              </w:rPr>
              <w:t xml:space="preserve">Victim realizes hack</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C0392B"/>
                <w:sz w:val="20"/>
                <w:szCs w:val="20"/>
              </w:rPr>
              <w:t xml:space="preserve">Hours to 3 days</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Victim / Self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Complaint filed (portal/FIR)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Day 0 – Day 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Victim + Local Police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sz w:val="20"/>
                <w:szCs w:val="20"/>
              </w:rPr>
              <w:t xml:space="preserve">CRN / FIR issued</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C0392B"/>
                <w:sz w:val="20"/>
                <w:szCs w:val="20"/>
              </w:rPr>
              <w:t xml:space="preserve">Same day (portal) / 1-3 days (station)</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Police Station / Cybercrime.gov.in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Forwarded to Cyber Cell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3 – 15 days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District Superintendent of Police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sz w:val="20"/>
                <w:szCs w:val="20"/>
              </w:rPr>
              <w:t xml:space="preserve">Cyber Cell acknowledgement</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C0392B"/>
                <w:sz w:val="20"/>
                <w:szCs w:val="20"/>
              </w:rPr>
              <w:t xml:space="preserve">1 – 7 days</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State Cyber Crime Cell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Technical investigation begins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2 – 6 weeks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Cyber Crime Investigators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sz w:val="20"/>
                <w:szCs w:val="20"/>
              </w:rPr>
              <w:t xml:space="preserve">ISP / Platform data received</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C0392B"/>
                <w:sz w:val="20"/>
                <w:szCs w:val="20"/>
              </w:rPr>
              <w:t xml:space="preserve">4 – 12 weeks</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ISP / Google / Meta / Apple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Suspect identified (domestic)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1 – 3 months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Cyber Cell + FSL</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sz w:val="20"/>
                <w:szCs w:val="20"/>
              </w:rPr>
              <w:t xml:space="preserve">Suspect identified (foreign)</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C0392B"/>
                <w:sz w:val="20"/>
                <w:szCs w:val="20"/>
              </w:rPr>
              <w:t xml:space="preserve">6 – 24 months</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MLAT + Interpol Red Notice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Charge sheet filed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3 – 12 months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Cyber Cell + Public Prosecutor</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sz w:val="20"/>
                <w:szCs w:val="20"/>
              </w:rPr>
              <w:t xml:space="preserve">Court proceedings begin</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C0392B"/>
                <w:sz w:val="20"/>
                <w:szCs w:val="20"/>
              </w:rPr>
              <w:t xml:space="preserve">6 – 18 months</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Sessions / Special IT Court</w:t>
            </w:r>
          </w:p>
        </w:tc>
      </w:tr>
    </w:tbl>
    <w:p>
      <w:pPr>
        <w:spacing w:before="80" w:after="80"/>
      </w:pPr>
      <w:r>
        <w:t xml:space="preserve"/>
      </w:r>
    </w:p>
    <w:p>
      <w:pPr>
        <w:spacing w:before="60" w:after="80"/>
        <w:jc w:val="both"/>
      </w:pPr>
      <w:r>
        <w:rPr>
          <w:rFonts w:ascii="Arial" w:cs="Arial" w:eastAsia="Arial" w:hAnsi="Arial"/>
          <w:i/>
          <w:iCs/>
          <w:color w:val="666666"/>
          <w:sz w:val="22"/>
          <w:szCs w:val="22"/>
        </w:rPr>
        <w:t xml:space="preserve">Note: Metro city Cyber Cells (Delhi, Mumbai, Bengaluru, Hyderabad) generally operate at the faster end of these ranges. Tier-2 and Tier-3 city police stations may experience significantly longer delays due to resource constraints.</w:t>
      </w:r>
    </w:p>
    <w:p>
      <w:pPr>
        <w:spacing w:before="80" w:after="80"/>
      </w:pPr>
      <w:r>
        <w:t xml:space="preserve"/>
      </w:r>
    </w:p>
    <w:p>
      <w:pPr>
        <w:pStyle w:val="Heading1"/>
        <w:pBdr>
          <w:bottom w:val="single" w:color="1A3A5C" w:sz="4" w:space="4"/>
        </w:pBdr>
        <w:spacing w:before="400" w:after="200"/>
      </w:pPr>
      <w:r>
        <w:rPr>
          <w:rFonts w:ascii="Arial" w:cs="Arial" w:eastAsia="Arial" w:hAnsi="Arial"/>
          <w:b/>
          <w:bCs/>
          <w:color w:val="1A3A5C"/>
          <w:sz w:val="32"/>
          <w:szCs w:val="32"/>
        </w:rPr>
        <w:t xml:space="preserve">6. PHASE 4 — TIMELINE: GLOBAL</w:t>
      </w:r>
    </w:p>
    <w:p>
      <w:pPr>
        <w:spacing w:before="60" w:after="80"/>
        <w:jc w:val="both"/>
      </w:pPr>
      <w:r>
        <w:rPr>
          <w:rFonts w:ascii="Arial" w:cs="Arial" w:eastAsia="Arial" w:hAnsi="Arial"/>
          <w:sz w:val="22"/>
          <w:szCs w:val="22"/>
        </w:rPr>
        <w:t xml:space="preserve">The following table reflects response timelines for major global jurisdictions: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A5C" w:sz="1"/>
              <w:left w:val="single" w:color="1A3A5C" w:sz="1"/>
              <w:bottom w:val="single" w:color="1A3A5C" w:sz="1"/>
              <w:right w:val="single" w:color="1A3A5C" w:sz="1"/>
            </w:tcBorders>
            <w:shd w:fill="2E5A8E" w:val="clear"/>
            <w:tcMar>
              <w:top w:type="dxa" w:w="80"/>
              <w:left w:type="dxa" w:w="120"/>
              <w:bottom w:type="dxa" w:w="80"/>
              <w:right w:type="dxa" w:w="120"/>
            </w:tcMar>
          </w:tcPr>
          <w:p>
            <w:r>
              <w:rPr>
                <w:rFonts w:ascii="Arial" w:cs="Arial" w:eastAsia="Arial" w:hAnsi="Arial"/>
                <w:b/>
                <w:bCs/>
                <w:color w:val="FFFFFF"/>
                <w:sz w:val="21"/>
                <w:szCs w:val="21"/>
              </w:rPr>
              <w:t xml:space="preserve">Country / Agency</w:t>
            </w:r>
          </w:p>
        </w:tc>
        <w:tc>
          <w:tcPr>
            <w:tcW w:type="dxa" w:w="3120"/>
            <w:tcBorders>
              <w:top w:val="single" w:color="1A3A5C" w:sz="1"/>
              <w:left w:val="single" w:color="1A3A5C" w:sz="1"/>
              <w:bottom w:val="single" w:color="1A3A5C" w:sz="1"/>
              <w:right w:val="single" w:color="1A3A5C" w:sz="1"/>
            </w:tcBorders>
            <w:shd w:fill="2E5A8E" w:val="clear"/>
            <w:tcMar>
              <w:top w:type="dxa" w:w="80"/>
              <w:left w:type="dxa" w:w="120"/>
              <w:bottom w:type="dxa" w:w="80"/>
              <w:right w:type="dxa" w:w="120"/>
            </w:tcMar>
          </w:tcPr>
          <w:p>
            <w:r>
              <w:rPr>
                <w:rFonts w:ascii="Arial" w:cs="Arial" w:eastAsia="Arial" w:hAnsi="Arial"/>
                <w:b/>
                <w:bCs/>
                <w:color w:val="FFFFFF"/>
                <w:sz w:val="21"/>
                <w:szCs w:val="21"/>
              </w:rPr>
              <w:t xml:space="preserve">Complaint Portal</w:t>
            </w:r>
          </w:p>
        </w:tc>
        <w:tc>
          <w:tcPr>
            <w:tcW w:type="dxa" w:w="3120"/>
            <w:tcBorders>
              <w:top w:val="single" w:color="1A3A5C" w:sz="1"/>
              <w:left w:val="single" w:color="1A3A5C" w:sz="1"/>
              <w:bottom w:val="single" w:color="1A3A5C" w:sz="1"/>
              <w:right w:val="single" w:color="1A3A5C" w:sz="1"/>
            </w:tcBorders>
            <w:shd w:fill="2E5A8E" w:val="clear"/>
            <w:tcMar>
              <w:top w:type="dxa" w:w="80"/>
              <w:left w:type="dxa" w:w="120"/>
              <w:bottom w:type="dxa" w:w="80"/>
              <w:right w:type="dxa" w:w="120"/>
            </w:tcMar>
          </w:tcPr>
          <w:p>
            <w:r>
              <w:rPr>
                <w:rFonts w:ascii="Arial" w:cs="Arial" w:eastAsia="Arial" w:hAnsi="Arial"/>
                <w:b/>
                <w:bCs/>
                <w:color w:val="FFFFFF"/>
                <w:sz w:val="21"/>
                <w:szCs w:val="21"/>
              </w:rPr>
              <w:t xml:space="preserve">Response Time</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USA — FBI / IC3</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ic3.gov</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Complaint: 24-48 hrs | Investigation: 2-6 months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UK — NCSC / Action Fraud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actionfraud.police.uk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Acknowledgement: 3-5 days | Action: 4-8 weeks</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EU — Europol EC3</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europol.europa.eu</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Referral: 1-2 weeks | Investigation: 1-4 months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Australia — ACSC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cyber.gov.au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Triage: 2-5 days | Investigation: 2-6 weeks</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Singapore — SPF Cyber</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spf.gov.sg</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Response: 2-7 days | Among fastest globally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Germany — BSI + LKA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bsi.bund.de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Complaint: 1 week | Investigation: 2-8 weeks</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Canada — RCMP / CCCS</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cyber.gc.ca</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Acknowledgement: 5-10 days | Action: 1-4 months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Interpol (cross-border)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interpol.int/en/Crimes/Cybercrime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MLAT request: 6-24 months</w:t>
            </w:r>
          </w:p>
        </w:tc>
      </w:tr>
    </w:tbl>
    <w:p>
      <w:pPr>
        <w:spacing w:before="80" w:after="80"/>
      </w:pPr>
      <w:r>
        <w:t xml:space="preserve"/>
      </w:r>
    </w:p>
    <w:p>
      <w:pPr>
        <w:pStyle w:val="Heading1"/>
        <w:pBdr>
          <w:bottom w:val="single" w:color="1A3A5C" w:sz="4" w:space="4"/>
        </w:pBdr>
        <w:spacing w:before="400" w:after="200"/>
      </w:pPr>
      <w:r>
        <w:rPr>
          <w:rFonts w:ascii="Arial" w:cs="Arial" w:eastAsia="Arial" w:hAnsi="Arial"/>
          <w:b/>
          <w:bCs/>
          <w:color w:val="1A3A5C"/>
          <w:sz w:val="32"/>
          <w:szCs w:val="32"/>
        </w:rPr>
        <w:t xml:space="preserve">7. PHASE 5 — CROSS-BORDER CASES &amp; MLAT</w:t>
      </w:r>
    </w:p>
    <w:p>
      <w:pPr>
        <w:spacing w:before="60" w:after="80"/>
        <w:jc w:val="both"/>
      </w:pPr>
      <w:r>
        <w:rPr>
          <w:rFonts w:ascii="Arial" w:cs="Arial" w:eastAsia="Arial" w:hAnsi="Arial"/>
          <w:sz w:val="22"/>
          <w:szCs w:val="22"/>
        </w:rPr>
        <w:t xml:space="preserve">When the suspected hacker is located in a foreign country, the investigation requires international cooperation. This significantly extends the timeline.</w:t>
      </w:r>
    </w:p>
    <w:p>
      <w:pPr>
        <w:spacing w:before="80" w:after="80"/>
      </w:pPr>
      <w:r>
        <w:t xml:space="preserve"/>
      </w:r>
    </w:p>
    <w:p>
      <w:pPr>
        <w:pStyle w:val="Heading2"/>
        <w:spacing w:before="280" w:after="120"/>
      </w:pPr>
      <w:r>
        <w:rPr>
          <w:rFonts w:ascii="Arial" w:cs="Arial" w:eastAsia="Arial" w:hAnsi="Arial"/>
          <w:b/>
          <w:bCs/>
          <w:color w:val="2E5A8E"/>
          <w:sz w:val="26"/>
          <w:szCs w:val="26"/>
        </w:rPr>
        <w:t xml:space="preserve">7.1 MLAT Process (Mutual Legal Assistance Treaty)</w:t>
      </w:r>
    </w:p>
    <w:p>
      <w:pPr>
        <w:pStyle w:val="ListParagraph"/>
        <w:numPr>
          <w:ilvl w:val="0"/>
          <w:numId w:val="3"/>
        </w:numPr>
        <w:spacing w:before="60" w:after="60"/>
      </w:pPr>
      <w:r>
        <w:rPr>
          <w:rFonts w:ascii="Arial" w:cs="Arial" w:eastAsia="Arial" w:hAnsi="Arial"/>
          <w:sz w:val="22"/>
          <w:szCs w:val="22"/>
        </w:rPr>
        <w:t xml:space="preserve">Investigating authority identifies foreign IP or platform server location</w:t>
      </w:r>
    </w:p>
    <w:p>
      <w:pPr>
        <w:pStyle w:val="ListParagraph"/>
        <w:numPr>
          <w:ilvl w:val="0"/>
          <w:numId w:val="3"/>
        </w:numPr>
        <w:spacing w:before="60" w:after="60"/>
      </w:pPr>
      <w:r>
        <w:rPr>
          <w:rFonts w:ascii="Arial" w:cs="Arial" w:eastAsia="Arial" w:hAnsi="Arial"/>
          <w:sz w:val="22"/>
          <w:szCs w:val="22"/>
        </w:rPr>
        <w:t xml:space="preserve">Request drafted by Central Authority (India: Ministry of Law and Justice)</w:t>
      </w:r>
    </w:p>
    <w:p>
      <w:pPr>
        <w:pStyle w:val="ListParagraph"/>
        <w:numPr>
          <w:ilvl w:val="0"/>
          <w:numId w:val="3"/>
        </w:numPr>
        <w:spacing w:before="60" w:after="60"/>
      </w:pPr>
      <w:r>
        <w:rPr>
          <w:rFonts w:ascii="Arial" w:cs="Arial" w:eastAsia="Arial" w:hAnsi="Arial"/>
          <w:sz w:val="22"/>
          <w:szCs w:val="22"/>
        </w:rPr>
        <w:t xml:space="preserve">Request transmitted to foreign Central Authority via diplomatic channel</w:t>
      </w:r>
    </w:p>
    <w:p>
      <w:pPr>
        <w:pStyle w:val="ListParagraph"/>
        <w:numPr>
          <w:ilvl w:val="0"/>
          <w:numId w:val="3"/>
        </w:numPr>
        <w:spacing w:before="60" w:after="60"/>
      </w:pPr>
      <w:r>
        <w:rPr>
          <w:rFonts w:ascii="Arial" w:cs="Arial" w:eastAsia="Arial" w:hAnsi="Arial"/>
          <w:sz w:val="22"/>
          <w:szCs w:val="22"/>
        </w:rPr>
        <w:t xml:space="preserve">Foreign authority reviews request against their domestic law</w:t>
      </w:r>
    </w:p>
    <w:p>
      <w:pPr>
        <w:pStyle w:val="ListParagraph"/>
        <w:numPr>
          <w:ilvl w:val="0"/>
          <w:numId w:val="3"/>
        </w:numPr>
        <w:spacing w:before="60" w:after="60"/>
      </w:pPr>
      <w:r>
        <w:rPr>
          <w:rFonts w:ascii="Arial" w:cs="Arial" w:eastAsia="Arial" w:hAnsi="Arial"/>
          <w:sz w:val="22"/>
          <w:szCs w:val="22"/>
        </w:rPr>
        <w:t xml:space="preserve">If approved, foreign authority executes the request (server seizure, logs, arrest)</w:t>
      </w:r>
    </w:p>
    <w:p>
      <w:pPr>
        <w:pStyle w:val="ListParagraph"/>
        <w:numPr>
          <w:ilvl w:val="0"/>
          <w:numId w:val="3"/>
        </w:numPr>
        <w:spacing w:before="60" w:after="60"/>
      </w:pPr>
      <w:r>
        <w:rPr>
          <w:rFonts w:ascii="Arial" w:cs="Arial" w:eastAsia="Arial" w:hAnsi="Arial"/>
          <w:sz w:val="22"/>
          <w:szCs w:val="22"/>
        </w:rPr>
        <w:t xml:space="preserve">Evidence returned to requesting country via secure diplomatic channel</w:t>
      </w:r>
    </w:p>
    <w:p>
      <w:pPr>
        <w:pStyle w:val="ListParagraph"/>
        <w:numPr>
          <w:ilvl w:val="0"/>
          <w:numId w:val="3"/>
        </w:numPr>
        <w:spacing w:before="60" w:after="60"/>
      </w:pPr>
      <w:r>
        <w:rPr>
          <w:rFonts w:ascii="Arial" w:cs="Arial" w:eastAsia="Arial" w:hAnsi="Arial"/>
          <w:sz w:val="22"/>
          <w:szCs w:val="22"/>
        </w:rPr>
        <w:t xml:space="preserve">Evidence admitted in domestic court proceedings</w:t>
      </w:r>
    </w:p>
    <w:p>
      <w:pPr>
        <w:spacing w:before="80" w:after="80"/>
      </w:pPr>
      <w:r>
        <w:t xml:space="preserve"/>
      </w:r>
    </w:p>
    <w:p>
      <w:pPr>
        <w:spacing w:before="60" w:after="80"/>
        <w:jc w:val="both"/>
      </w:pPr>
      <w:r>
        <w:rPr>
          <w:rFonts w:ascii="Arial" w:cs="Arial" w:eastAsia="Arial" w:hAnsi="Arial"/>
          <w:sz w:val="22"/>
          <w:szCs w:val="22"/>
        </w:rPr>
        <w:t xml:space="preserve">Average MLAT processing time: 6 to 24 months. Some bilateral MLATs (e.g., India-USA) have expedited provisions for critical cases.</w:t>
      </w:r>
    </w:p>
    <w:p>
      <w:pPr>
        <w:spacing w:before="80" w:after="80"/>
      </w:pPr>
      <w:r>
        <w:t xml:space="preserve"/>
      </w:r>
    </w:p>
    <w:p>
      <w:pPr>
        <w:pStyle w:val="Heading2"/>
        <w:spacing w:before="280" w:after="120"/>
      </w:pPr>
      <w:r>
        <w:rPr>
          <w:rFonts w:ascii="Arial" w:cs="Arial" w:eastAsia="Arial" w:hAnsi="Arial"/>
          <w:b/>
          <w:bCs/>
          <w:color w:val="2E5A8E"/>
          <w:sz w:val="26"/>
          <w:szCs w:val="26"/>
        </w:rPr>
        <w:t xml:space="preserve">7.2 Interpol Mechanisms</w:t>
      </w:r>
    </w:p>
    <w:p>
      <w:pPr>
        <w:pStyle w:val="ListParagraph"/>
        <w:numPr>
          <w:ilvl w:val="0"/>
          <w:numId w:val="2"/>
        </w:numPr>
        <w:spacing w:before="40" w:after="40"/>
      </w:pPr>
      <w:r>
        <w:rPr>
          <w:rFonts w:ascii="Arial" w:cs="Arial" w:eastAsia="Arial" w:hAnsi="Arial"/>
          <w:sz w:val="22"/>
          <w:szCs w:val="22"/>
        </w:rPr>
        <w:t xml:space="preserve">Red Notice — Requests member countries to locate and arrest a wanted person</w:t>
      </w:r>
    </w:p>
    <w:p>
      <w:pPr>
        <w:pStyle w:val="ListParagraph"/>
        <w:numPr>
          <w:ilvl w:val="0"/>
          <w:numId w:val="2"/>
        </w:numPr>
        <w:spacing w:before="40" w:after="40"/>
      </w:pPr>
      <w:r>
        <w:rPr>
          <w:rFonts w:ascii="Arial" w:cs="Arial" w:eastAsia="Arial" w:hAnsi="Arial"/>
          <w:sz w:val="22"/>
          <w:szCs w:val="22"/>
        </w:rPr>
        <w:t xml:space="preserve">Purple Notice — Requests information on modi operandi / cybercrime methods</w:t>
      </w:r>
    </w:p>
    <w:p>
      <w:pPr>
        <w:pStyle w:val="ListParagraph"/>
        <w:numPr>
          <w:ilvl w:val="0"/>
          <w:numId w:val="2"/>
        </w:numPr>
        <w:spacing w:before="40" w:after="40"/>
      </w:pPr>
      <w:r>
        <w:rPr>
          <w:rFonts w:ascii="Arial" w:cs="Arial" w:eastAsia="Arial" w:hAnsi="Arial"/>
          <w:sz w:val="22"/>
          <w:szCs w:val="22"/>
        </w:rPr>
        <w:t xml:space="preserve">I-24/7 — Interpol's secure global police communications network</w:t>
      </w:r>
    </w:p>
    <w:p>
      <w:pPr>
        <w:pStyle w:val="ListParagraph"/>
        <w:numPr>
          <w:ilvl w:val="0"/>
          <w:numId w:val="2"/>
        </w:numPr>
        <w:spacing w:before="40" w:after="40"/>
      </w:pPr>
      <w:r>
        <w:rPr>
          <w:rFonts w:ascii="Arial" w:cs="Arial" w:eastAsia="Arial" w:hAnsi="Arial"/>
          <w:sz w:val="22"/>
          <w:szCs w:val="22"/>
        </w:rPr>
        <w:t xml:space="preserve">Cybercrime Directorate (IGCI, Singapore) — Coordinates operational support</w:t>
      </w:r>
    </w:p>
    <w:p>
      <w:pPr>
        <w:spacing w:before="80" w:after="80"/>
      </w:pPr>
      <w:r>
        <w:t xml:space="preserve"/>
      </w:r>
    </w:p>
    <w:p>
      <w:pPr>
        <w:pStyle w:val="Heading1"/>
        <w:pBdr>
          <w:bottom w:val="single" w:color="1A3A5C" w:sz="4" w:space="4"/>
        </w:pBdr>
        <w:spacing w:before="400" w:after="200"/>
      </w:pPr>
      <w:r>
        <w:rPr>
          <w:rFonts w:ascii="Arial" w:cs="Arial" w:eastAsia="Arial" w:hAnsi="Arial"/>
          <w:b/>
          <w:bCs/>
          <w:color w:val="1A3A5C"/>
          <w:sz w:val="32"/>
          <w:szCs w:val="32"/>
        </w:rPr>
        <w:t xml:space="preserve">8. KEY BOTTLENECKS &amp; KNOWN DELAYS</w:t>
      </w:r>
    </w:p>
    <w:p>
      <w:pPr>
        <w:spacing w:before="60" w:after="80"/>
        <w:jc w:val="both"/>
      </w:pPr>
      <w:r>
        <w:rPr>
          <w:rFonts w:ascii="Arial" w:cs="Arial" w:eastAsia="Arial" w:hAnsi="Arial"/>
          <w:sz w:val="22"/>
          <w:szCs w:val="22"/>
        </w:rPr>
        <w:t xml:space="preserve">The following factors are widely recognized as causing delays in cybercrime investigations across all jurisdictions: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Bottleneck</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Explanation</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sz w:val="20"/>
                <w:szCs w:val="20"/>
              </w:rPr>
              <w:t xml:space="preserve">Jurisdictional Fragmentation</w:t>
            </w:r>
          </w:p>
        </w:tc>
        <w:tc>
          <w:tcPr>
            <w:tcW w:type="dxa" w:w="6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sz w:val="20"/>
                <w:szCs w:val="20"/>
              </w:rPr>
              <w:t xml:space="preserve">Hacker in different state or country requires inter-agency coordination and legal instruments, adding weeks to months.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Platform Response Latency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platforms (Google, Apple, Meta) operate on their own legal review timelines. Standard requests: 7-30 days. Emergency: 72 hours.</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sz w:val="20"/>
                <w:szCs w:val="20"/>
              </w:rPr>
              <w:t xml:space="preserve">Evidence Volatility</w:t>
            </w:r>
          </w:p>
        </w:tc>
        <w:tc>
          <w:tcPr>
            <w:tcW w:type="dxa" w:w="6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sz w:val="20"/>
                <w:szCs w:val="20"/>
              </w:rPr>
              <w:t xml:space="preserve">Server logs, call records, and access logs are overwritten or deleted before warrants arrive. Critical window is often 30-90 days.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Encryption &amp; VPNs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End-to-end encryption and VPN chaining can make tracing extremely difficult, requiring court orders and extended analysis.</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sz w:val="20"/>
                <w:szCs w:val="20"/>
              </w:rPr>
              <w:t xml:space="preserve">Understaffing</w:t>
            </w:r>
          </w:p>
        </w:tc>
        <w:tc>
          <w:tcPr>
            <w:tcW w:type="dxa" w:w="6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sz w:val="20"/>
                <w:szCs w:val="20"/>
              </w:rPr>
              <w:t xml:space="preserve">Most Cyber Cells in India and developing nations are severely understaffed relative to caseload, especially outside major metros.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Victim Delay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Most victims take days to weeks to recognize they have been hacked, allowing attackers to cover tracks or exfiltrate data.</w:t>
            </w:r>
          </w:p>
        </w:tc>
      </w:tr>
    </w:tbl>
    <w:p>
      <w:pPr>
        <w:spacing w:before="80" w:after="80"/>
      </w:pPr>
      <w:r>
        <w:t xml:space="preserve"/>
      </w:r>
    </w:p>
    <w:p>
      <w:pPr>
        <w:pStyle w:val="Heading1"/>
        <w:pBdr>
          <w:bottom w:val="single" w:color="1A3A5C" w:sz="4" w:space="4"/>
        </w:pBdr>
        <w:spacing w:before="400" w:after="200"/>
      </w:pPr>
      <w:r>
        <w:rPr>
          <w:rFonts w:ascii="Arial" w:cs="Arial" w:eastAsia="Arial" w:hAnsi="Arial"/>
          <w:b/>
          <w:bCs/>
          <w:color w:val="1A3A5C"/>
          <w:sz w:val="32"/>
          <w:szCs w:val="32"/>
        </w:rPr>
        <w:t xml:space="preserve">9. VICTIM'S CHECKLIST — IMMEDIATE ACTIONS</w:t>
      </w:r>
    </w:p>
    <w:p>
      <w:pPr>
        <w:spacing w:before="60" w:after="80"/>
        <w:jc w:val="both"/>
      </w:pPr>
      <w:r>
        <w:rPr>
          <w:rFonts w:ascii="Arial" w:cs="Arial" w:eastAsia="Arial" w:hAnsi="Arial"/>
          <w:sz w:val="22"/>
          <w:szCs w:val="22"/>
        </w:rPr>
        <w:t xml:space="preserve">If you believe your mobile phone has been hacked, take these actions immediately to preserve evidence and initiate the response process:</w:t>
      </w:r>
    </w:p>
    <w:p>
      <w:pPr>
        <w:spacing w:before="80" w:after="80"/>
      </w:pPr>
      <w:r>
        <w:t xml:space="preserve"/>
      </w:r>
    </w:p>
    <w:p>
      <w:pPr>
        <w:pStyle w:val="ListParagraph"/>
        <w:numPr>
          <w:ilvl w:val="0"/>
          <w:numId w:val="3"/>
        </w:numPr>
        <w:spacing w:before="60" w:after="60"/>
      </w:pPr>
      <w:r>
        <w:rPr>
          <w:rFonts w:ascii="Arial" w:cs="Arial" w:eastAsia="Arial" w:hAnsi="Arial"/>
          <w:sz w:val="22"/>
          <w:szCs w:val="22"/>
        </w:rPr>
        <w:t xml:space="preserve">Do NOT factory reset or wipe your phone — this destroys forensic evidence</w:t>
      </w:r>
    </w:p>
    <w:p>
      <w:pPr>
        <w:pStyle w:val="ListParagraph"/>
        <w:numPr>
          <w:ilvl w:val="0"/>
          <w:numId w:val="3"/>
        </w:numPr>
        <w:spacing w:before="60" w:after="60"/>
      </w:pPr>
      <w:r>
        <w:rPr>
          <w:rFonts w:ascii="Arial" w:cs="Arial" w:eastAsia="Arial" w:hAnsi="Arial"/>
          <w:sz w:val="22"/>
          <w:szCs w:val="22"/>
        </w:rPr>
        <w:t xml:space="preserve">Take screenshots of any suspicious apps, messages, or notifications</w:t>
      </w:r>
    </w:p>
    <w:p>
      <w:pPr>
        <w:pStyle w:val="ListParagraph"/>
        <w:numPr>
          <w:ilvl w:val="0"/>
          <w:numId w:val="3"/>
        </w:numPr>
        <w:spacing w:before="60" w:after="60"/>
      </w:pPr>
      <w:r>
        <w:rPr>
          <w:rFonts w:ascii="Arial" w:cs="Arial" w:eastAsia="Arial" w:hAnsi="Arial"/>
          <w:sz w:val="22"/>
          <w:szCs w:val="22"/>
        </w:rPr>
        <w:t xml:space="preserve">Note the date and time you first noticed the anomaly</w:t>
      </w:r>
    </w:p>
    <w:p>
      <w:pPr>
        <w:pStyle w:val="ListParagraph"/>
        <w:numPr>
          <w:ilvl w:val="0"/>
          <w:numId w:val="3"/>
        </w:numPr>
        <w:spacing w:before="60" w:after="60"/>
      </w:pPr>
      <w:r>
        <w:rPr>
          <w:rFonts w:ascii="Arial" w:cs="Arial" w:eastAsia="Arial" w:hAnsi="Arial"/>
          <w:sz w:val="22"/>
          <w:szCs w:val="22"/>
        </w:rPr>
        <w:t xml:space="preserve">Disconnect from Wi-Fi and mobile data (Airplane Mode) to halt data exfiltration</w:t>
      </w:r>
    </w:p>
    <w:p>
      <w:pPr>
        <w:pStyle w:val="ListParagraph"/>
        <w:numPr>
          <w:ilvl w:val="0"/>
          <w:numId w:val="3"/>
        </w:numPr>
        <w:spacing w:before="60" w:after="60"/>
      </w:pPr>
      <w:r>
        <w:rPr>
          <w:rFonts w:ascii="Arial" w:cs="Arial" w:eastAsia="Arial" w:hAnsi="Arial"/>
          <w:sz w:val="22"/>
          <w:szCs w:val="22"/>
        </w:rPr>
        <w:t xml:space="preserve">File complaint at cybercrime.gov.in or call 1930 (India) immediately</w:t>
      </w:r>
    </w:p>
    <w:p>
      <w:pPr>
        <w:pStyle w:val="ListParagraph"/>
        <w:numPr>
          <w:ilvl w:val="0"/>
          <w:numId w:val="3"/>
        </w:numPr>
        <w:spacing w:before="60" w:after="60"/>
      </w:pPr>
      <w:r>
        <w:rPr>
          <w:rFonts w:ascii="Arial" w:cs="Arial" w:eastAsia="Arial" w:hAnsi="Arial"/>
          <w:sz w:val="22"/>
          <w:szCs w:val="22"/>
        </w:rPr>
        <w:t xml:space="preserve">Request a written acknowledgement / CRN from the portal</w:t>
      </w:r>
    </w:p>
    <w:p>
      <w:pPr>
        <w:pStyle w:val="ListParagraph"/>
        <w:numPr>
          <w:ilvl w:val="0"/>
          <w:numId w:val="3"/>
        </w:numPr>
        <w:spacing w:before="60" w:after="60"/>
      </w:pPr>
      <w:r>
        <w:rPr>
          <w:rFonts w:ascii="Arial" w:cs="Arial" w:eastAsia="Arial" w:hAnsi="Arial"/>
          <w:sz w:val="22"/>
          <w:szCs w:val="22"/>
        </w:rPr>
        <w:t xml:space="preserve">Preserve all SIM cards, call records, and bank transaction alerts</w:t>
      </w:r>
    </w:p>
    <w:p>
      <w:pPr>
        <w:pStyle w:val="ListParagraph"/>
        <w:numPr>
          <w:ilvl w:val="0"/>
          <w:numId w:val="3"/>
        </w:numPr>
        <w:spacing w:before="60" w:after="60"/>
      </w:pPr>
      <w:r>
        <w:rPr>
          <w:rFonts w:ascii="Arial" w:cs="Arial" w:eastAsia="Arial" w:hAnsi="Arial"/>
          <w:sz w:val="22"/>
          <w:szCs w:val="22"/>
        </w:rPr>
        <w:t xml:space="preserve">Change passwords for email, banking, and social media from a DIFFERENT, clean device</w:t>
      </w:r>
    </w:p>
    <w:p>
      <w:pPr>
        <w:pStyle w:val="ListParagraph"/>
        <w:numPr>
          <w:ilvl w:val="0"/>
          <w:numId w:val="3"/>
        </w:numPr>
        <w:spacing w:before="60" w:after="60"/>
      </w:pPr>
      <w:r>
        <w:rPr>
          <w:rFonts w:ascii="Arial" w:cs="Arial" w:eastAsia="Arial" w:hAnsi="Arial"/>
          <w:sz w:val="22"/>
          <w:szCs w:val="22"/>
        </w:rPr>
        <w:t xml:space="preserve">Inform your bank if financial data may have been compromised</w:t>
      </w:r>
    </w:p>
    <w:p>
      <w:pPr>
        <w:pStyle w:val="ListParagraph"/>
        <w:numPr>
          <w:ilvl w:val="0"/>
          <w:numId w:val="3"/>
        </w:numPr>
        <w:spacing w:before="60" w:after="60"/>
      </w:pPr>
      <w:r>
        <w:rPr>
          <w:rFonts w:ascii="Arial" w:cs="Arial" w:eastAsia="Arial" w:hAnsi="Arial"/>
          <w:sz w:val="22"/>
          <w:szCs w:val="22"/>
        </w:rPr>
        <w:t xml:space="preserve">If corporate device, immediately notify your IT/Security department</w:t>
      </w:r>
    </w:p>
    <w:p>
      <w:pPr>
        <w:spacing w:before="80" w:after="80"/>
      </w:pPr>
      <w:r>
        <w:t xml:space="preserve"/>
      </w:r>
    </w:p>
    <w:p>
      <w:pPr>
        <w:pStyle w:val="Heading1"/>
        <w:pBdr>
          <w:bottom w:val="single" w:color="1A3A5C" w:sz="4" w:space="4"/>
        </w:pBdr>
        <w:spacing w:before="400" w:after="200"/>
      </w:pPr>
      <w:r>
        <w:rPr>
          <w:rFonts w:ascii="Arial" w:cs="Arial" w:eastAsia="Arial" w:hAnsi="Arial"/>
          <w:b/>
          <w:bCs/>
          <w:color w:val="1A3A5C"/>
          <w:sz w:val="32"/>
          <w:szCs w:val="32"/>
        </w:rPr>
        <w:t xml:space="preserve">10. REFERENCE CONTACTS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Authority</w:t>
            </w:r>
          </w:p>
        </w:tc>
        <w:tc>
          <w:tcPr>
            <w:tcW w:type="dxa" w:w="3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Contact / Portal</w:t>
            </w:r>
          </w:p>
        </w:tc>
        <w:tc>
          <w:tcPr>
            <w:tcW w:type="dxa" w:w="33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Jurisdiction</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National Cyber Crime Portal</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cybercrime.gov.in</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India (All States)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Cyber Crime Helpline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1930 (24x7)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India</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CERT-In</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cert-in.org.in</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India (Critical Infra)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FBI Internet Crime Complaint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ic3.gov</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United States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Action Fraud</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actionfraud.police.uk</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United Kingdom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Europol EC3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europol.europa.eu</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European Union</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ACSC</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cyber.gov.au</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Australia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Interpol Cybercrime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interpol.int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 Cross-border</w:t>
            </w:r>
          </w:p>
        </w:tc>
      </w:tr>
    </w:tbl>
    <w:p>
      <w:pPr>
        <w:spacing w:before="80" w:after="80"/>
      </w:pPr>
      <w:r>
        <w:t xml:space="preserve"/>
      </w:r>
    </w:p>
    <w:p>
      <w:pPr>
        <w:pBdr>
          <w:top w:val="single" w:color="CCCCCC" w:sz="4" w:space="6"/>
        </w:pBdr>
        <w:spacing w:before="400" w:after="80"/>
      </w:pPr>
      <w:r>
        <w:rPr>
          <w:rFonts w:ascii="Arial" w:cs="Arial" w:eastAsia="Arial" w:hAnsi="Arial"/>
          <w:b/>
          <w:bCs/>
          <w:color w:val="1A3A5C"/>
          <w:sz w:val="20"/>
          <w:szCs w:val="20"/>
        </w:rPr>
        <w:t xml:space="preserve">DISCLAIMER</w:t>
      </w:r>
    </w:p>
    <w:p>
      <w:pPr>
        <w:spacing w:before="60" w:after="80"/>
        <w:jc w:val="both"/>
      </w:pPr>
      <w:r>
        <w:rPr>
          <w:rFonts w:ascii="Arial" w:cs="Arial" w:eastAsia="Arial" w:hAnsi="Arial"/>
          <w:color w:val="666666"/>
          <w:sz w:val="18"/>
          <w:szCs w:val="18"/>
        </w:rPr>
        <w:t xml:space="preserve">This document is a procedural reference compiled from publicly available frameworks issued by the Ministry of Home Affairs (India), CERT-In, Interpol, FBI, and Europol. It is intended for informational and reference purposes. Actual investigation timelines may vary based on case complexity, jurisdiction, and available resources. This document does not constitute legal advice.</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Reference: MHA Cyber Division | CERT-In | Interpol Cybercrime | FBI IC3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4"/>
      </w:pBdr>
      <w:spacing w:after="100"/>
    </w:pPr>
    <w:r>
      <w:rPr>
        <w:rFonts w:ascii="Arial" w:cs="Arial" w:eastAsia="Arial" w:hAnsi="Arial"/>
        <w:b/>
        <w:bCs/>
        <w:color w:val="1A3A5C"/>
        <w:sz w:val="18"/>
        <w:szCs w:val="18"/>
      </w:rPr>
      <w:t xml:space="preserve">CYBER CRIME INVESTIGATION PROCEDURE</w:t>
    </w:r>
    <w:r>
      <w:rPr>
        <w:rFonts w:ascii="Arial" w:cs="Arial" w:eastAsia="Arial" w:hAnsi="Arial"/>
        <w:color w:val="666666"/>
        <w:sz w:val="18"/>
        <w:szCs w:val="18"/>
      </w:rPr>
      <w:t xml:space="preserve">     |     Official Procedural Reference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5C"/>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5A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2026-03-04T04:51:56.817Z</dcterms:created>
  <dcterms:modified xsi:type="dcterms:W3CDTF">2026-03-04T04:51:56.817Z</dcterms:modified>
</cp:coreProperties>
</file>

<file path=docProps/custom.xml><?xml version="1.0" encoding="utf-8"?>
<Properties xmlns="http://schemas.openxmlformats.org/officeDocument/2006/custom-properties" xmlns:vt="http://schemas.openxmlformats.org/officeDocument/2006/docPropsVTypes"/>
</file>