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0"/>
        </w:rPr>
        <w:t>LandfillPlume-AI: Ghazipur Landfill Hazardous Gas Dispersion, Super-Emitter Methane Plume Fusion &amp; Deep Ensemble Forecasting</w:t>
      </w:r>
    </w:p>
    <w:p>
      <w:pPr>
        <w:spacing w:before="0" w:after="320"/>
      </w:pPr>
      <w:r>
        <w:rPr>
          <w:rFonts w:ascii="Calibri" w:hAnsi="Calibri"/>
          <w:i/>
          <w:color w:val="64748B"/>
          <w:sz w:val="22"/>
        </w:rPr>
        <w:t>Comprehensive Academic Project Report | Machine Learning, Environmental Data Fusion &amp; Public Health Early Warning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9"/>
              </w:rPr>
              <w:t>Domain:</w:t>
            </w:r>
            <w:r>
              <w:rPr>
                <w:rFonts w:ascii="Calibri" w:hAnsi="Calibri"/>
                <w:color w:val="475569"/>
                <w:sz w:val="19"/>
              </w:rPr>
              <w:t xml:space="preserve"> Environmental Machine Learning &amp; GIS</w:t>
            </w:r>
          </w:p>
        </w:tc>
        <w:tc>
          <w:tcPr>
            <w:tcW w:type="dxa" w:w="475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9"/>
              </w:rPr>
              <w:t>Primary Location:</w:t>
            </w:r>
            <w:r>
              <w:rPr>
                <w:rFonts w:ascii="Calibri" w:hAnsi="Calibri"/>
                <w:color w:val="475569"/>
                <w:sz w:val="19"/>
              </w:rPr>
              <w:t xml:space="preserve"> Ghazipur Dumpsite &amp; Anand Vihar (Delhi)</w:t>
            </w:r>
          </w:p>
        </w:tc>
      </w:tr>
      <w:tr>
        <w:tc>
          <w:tcPr>
            <w:tcW w:type="dxa" w:w="460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9"/>
              </w:rPr>
              <w:t>Datasets:</w:t>
            </w:r>
            <w:r>
              <w:rPr>
                <w:rFonts w:ascii="Calibri" w:hAnsi="Calibri"/>
                <w:color w:val="475569"/>
                <w:sz w:val="19"/>
              </w:rPr>
              <w:t xml:space="preserve"> NASA EMIT Plumes + DPCC Ground Sensors (70k+)</w:t>
            </w:r>
          </w:p>
        </w:tc>
        <w:tc>
          <w:tcPr>
            <w:tcW w:type="dxa" w:w="475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9"/>
              </w:rPr>
              <w:t>Core Models:</w:t>
            </w:r>
            <w:r>
              <w:rPr>
                <w:rFonts w:ascii="Calibri" w:hAnsi="Calibri"/>
                <w:color w:val="475569"/>
                <w:sz w:val="19"/>
              </w:rPr>
              <w:t xml:space="preserve"> XGBoost, LightGBM, CatBoost, Stacked Ensemble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12" w:space="4" w:color="E34A32"/>
        </w:pBdr>
      </w:pPr>
      <w:r>
        <w:rPr>
          <w:rFonts w:ascii="Calibri" w:hAnsi="Calibri"/>
          <w:b/>
          <w:color w:val="0F172A"/>
          <w:sz w:val="30"/>
        </w:rPr>
        <w:t>1. Executive Summary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Ghazipur solid waste dumpsite in East Delhi represents one of South Asia's largest municipal landfill super-emitters, generating vast quantities of fugitive methane (CH₄), ammonia (NH₃), carbon monoxide (CO), hydrogen sulfide (H₂S), and respirable particulates. These emissions continuously disperse into densely populated downstream residential clusters including Anand Vihar, Kaushambi, and Mayur Vihar.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LandfillPlume-AI is an end-to-end Machine Learning and Geospatial AI research system designed to bridge the observational scale gap between spaceborne hyperspectral satellite imagery (NASA EMIT, ESA EnMAP) and continuous high-frequency ground-level air quality monitoring stations (DPCC Anand Vihar Continuous Ambient Air Quality Monitoring Station).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E34A32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E34A32"/>
                <w:sz w:val="21"/>
              </w:rPr>
              <w:t>Key Quantitative Benchmark:</w:t>
            </w:r>
            <w:r>
              <w:rPr>
                <w:rFonts w:ascii="Calibri" w:hAnsi="Calibri"/>
                <w:color w:val="334155"/>
                <w:sz w:val="21"/>
              </w:rPr>
              <w:t xml:space="preserve"> The engineered Stacked Meta-Ensemble achieved an R² of 0.940 (RMSE: 3.24 µg/m³) for 1-hour ahead Ammonia (NH₃) forecasting and an R² of 0.916 for Carbon Monoxide (CO). The classification model achieved an ROC-AUC of 0.968 and 93.4% Recall for detecting toxic hazardous gas episodes, cutting severe public health exposure risks.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  <w:pBdr>
          <w:bottom w:val="single" w:sz="12" w:space="4" w:color="E34A32"/>
        </w:pBdr>
      </w:pPr>
      <w:r>
        <w:rPr>
          <w:rFonts w:ascii="Calibri" w:hAnsi="Calibri"/>
          <w:b/>
          <w:color w:val="0F172A"/>
          <w:sz w:val="30"/>
        </w:rPr>
        <w:t>2. Objectives of the Project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system was engineered to accomplish four core interdisciplinary objectives: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1.</w:t>
      </w:r>
      <w:r>
        <w:rPr>
          <w:rFonts w:ascii="Calibri" w:hAnsi="Calibri"/>
          <w:color w:val="334155"/>
          <w:sz w:val="21"/>
        </w:rPr>
        <w:t xml:space="preserve"> Multi-Scale Multi-Modal Dataset Fusion: Ingest, harmonize, clean, and chronologically align spaceborne hyperspectral methane super-emitter plumes (NASA EMIT / ESA EnMAP point-source plumes reaching emission rates &gt; 4,000 kg/hr) with continuous 15-minute / hourly ground monitoring records (70,000+ samples from DPCC Anand Vihar spanning 2018–2023).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2.</w:t>
      </w:r>
      <w:r>
        <w:rPr>
          <w:rFonts w:ascii="Calibri" w:hAnsi="Calibri"/>
          <w:color w:val="334155"/>
          <w:sz w:val="21"/>
        </w:rPr>
        <w:t xml:space="preserve"> Atmospheric Plume Physics &amp; Micro-Meteorological Feature Engineering: Design physically interpretable domain features, including wind vector decomposition (u, v components), Ghazipur-to-Station downwind alignment metrics (target azimuth ~130°), thermal buoyancy, planetary boundary layer ventilation index, and rolling exponential lag distributions.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3.</w:t>
      </w:r>
      <w:r>
        <w:rPr>
          <w:rFonts w:ascii="Calibri" w:hAnsi="Calibri"/>
          <w:color w:val="334155"/>
          <w:sz w:val="21"/>
        </w:rPr>
        <w:t xml:space="preserve"> Predictive Modeling &amp; Multi-Model Benchmarking: Train, evaluate, and benchmark diverse regression and classification architectures (Linear Baseline, Random Forest, Extra Trees, XGBoost, LightGBM, CatBoost, and Meta-Learner Stacking) for 1-hour ahead toxic gas forecasting and hazardous plume surge detection.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4.</w:t>
      </w:r>
      <w:r>
        <w:rPr>
          <w:rFonts w:ascii="Calibri" w:hAnsi="Calibri"/>
          <w:color w:val="334155"/>
          <w:sz w:val="21"/>
        </w:rPr>
        <w:t xml:space="preserve"> Interactive Decision Dashboard &amp; Explainable Public Health Warning Engine: Deploy a state-of-the-art interactive decision dashboard (built with React 19, Leaflet GIS, Lucide, and Vite) backed by SHAP (SHapley Additive exPlanations) and a dynamic automated SMS/Webhook dispatch engine that generates 6-hour predictive exposure containment radii.</w:t>
      </w:r>
    </w:p>
    <w:p>
      <w:pPr>
        <w:keepNext/>
        <w:spacing w:before="360" w:after="120"/>
        <w:pBdr>
          <w:bottom w:val="single" w:sz="12" w:space="4" w:color="E34A32"/>
        </w:pBdr>
      </w:pPr>
      <w:r>
        <w:rPr>
          <w:rFonts w:ascii="Calibri" w:hAnsi="Calibri"/>
          <w:b/>
          <w:color w:val="0F172A"/>
          <w:sz w:val="30"/>
        </w:rPr>
        <w:t>3. Methodology Used</w:t>
      </w:r>
    </w:p>
    <w:p>
      <w:pPr>
        <w:keepNext/>
        <w:spacing w:before="280" w:after="80"/>
      </w:pPr>
      <w:r>
        <w:rPr>
          <w:rFonts w:ascii="Calibri" w:hAnsi="Calibri"/>
          <w:b/>
          <w:color w:val="1E293B"/>
          <w:sz w:val="25"/>
        </w:rPr>
        <w:t>3.1 Data Acquisition &amp; Source Fusion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research methodology integrates two complementary observational sources to bridge macro-scale emissions and micro-scale ground exposures: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 Satellite Tier:</w:t>
      </w:r>
      <w:r>
        <w:rPr>
          <w:rFonts w:ascii="Calibri" w:hAnsi="Calibri"/>
          <w:color w:val="334155"/>
          <w:sz w:val="21"/>
        </w:rPr>
        <w:t xml:space="preserve"> Spaceborne Satellite Remote Sensing: NASA EMIT (Earth Surface Mineral Dust Source Investigation) aboard the International Space Station (ISS) and ESA EnMAP hyperspectral imaging spectrometers. These datasets provide spatial plume geometries, emission rates (kg/hr), and column enhancements (ppm·m) for fugitive landfill methane plumes.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 Ground Tier:</w:t>
      </w:r>
      <w:r>
        <w:rPr>
          <w:rFonts w:ascii="Calibri" w:hAnsi="Calibri"/>
          <w:color w:val="334155"/>
          <w:sz w:val="21"/>
        </w:rPr>
        <w:t xml:space="preserve"> Ground Air Quality &amp; Meteorology: Delhi Pollution Control Committee (DPCC) CAAQMS station at Anand Vihar (~2.4 km west-northwest of Ghazipur dumpsite). Ingests 70,000+ continuous readings containing NH₃, CO, PM₂.₅, PM₁₀, NO₂, SO₂, Ozone, Ambient Temperature, Relative Humidity, Wind Speed, and Wind Direction.</w:t>
      </w:r>
    </w:p>
    <w:p>
      <w:pPr>
        <w:keepNext/>
        <w:spacing w:before="280" w:after="80"/>
      </w:pPr>
      <w:r>
        <w:rPr>
          <w:rFonts w:ascii="Calibri" w:hAnsi="Calibri"/>
          <w:b/>
          <w:color w:val="1E293B"/>
          <w:sz w:val="25"/>
        </w:rPr>
        <w:t>3.2 Micro-Meteorological &amp; Atmospheric Feature Engineering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Raw air quality measurements alone fail to capture physical transport dynamics. We engineered 88 advanced atmospheric features based on turbulent dispersion physics: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Wind Vector Orthogonal Decomposition: Resolves cyclical degree discontinuities into continuous orthogonal wind velocities: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u = -WindSpeed × sin(WindDirection × π / 180)   [East-West Velocity]</w:t>
        <w:br/>
        <w:t>v = -WindSpeed × cos(WindDirection × π / 180)   [North-South Velocity]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Ghazipur Landfill Downwind Alignment Angle (Δθ): Quantifies angular alignment between ambient wind direction and the geometric azimuth vector connecting the landfill centroid (28.6234°N, 77.3289°E) to the monitoring station (28.6469°N, 77.3160°E, Azimuth ~130°):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Δθ = |((WindDirection - 130° + 180°) mod 360°) - 180°</w:t>
        <w:br/>
        <w:t>Downwind_Alignment_Factor = cos(Δθ × π / 180) ∈ [-1.0, 1.0]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Atmospheric Ventilation &amp; Stability Index: Models atmospheric carrying capacity and boundary layer trapping: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Ventilation_Index = Wind_Speed × (T_ambient - T_dew_point) ≈ Boundary Layer Mixing Potential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Rolling Temporal Lags &amp; Volatility: Rolling means, standard deviations, and min/max envelopes computed over 1h, 3h, 6h, 12h, and 24h horizons to capture emission accumulation during atmospheric night-time inversions.</w:t>
      </w:r>
    </w:p>
    <w:p>
      <w:pPr>
        <w:keepNext/>
        <w:spacing w:before="280" w:after="80"/>
      </w:pPr>
      <w:r>
        <w:rPr>
          <w:rFonts w:ascii="Calibri" w:hAnsi="Calibri"/>
          <w:b/>
          <w:color w:val="1E293B"/>
          <w:sz w:val="25"/>
        </w:rPr>
        <w:t>3.3 Machine Learning Pipeline Architecture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A rigorous time-aware temporal splitting protocol (80% training / 20% holdout test set) was enforced to prevent data leakage in time-series forecasting. Seven regression algorithms and four classification algorithms were tuned and benchmarked: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Regression Suite: Ridge Linear Regression, Random Forest Regressor, Extra Trees, Gradient Boosting Machine, XGBoost, LightGBM, and CatBoost Regressor.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Meta-Learner Stacking: Level-0 base estimators (XGBoost, LightGBM, CatBoost) coupled with a Level-1 Ridge Regularized Meta-Regressor using Out-of-Fold (OOF) cross-validation predictions.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Extreme Event Classification Suite: Binary classification pipeline (Normal vs. Hazardous Surge &gt; 90th percentile NH₃/CO) leveraging cost-sensitive learning and class-weight balancing.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Explainable AI (XAI): TreeSHAP framework applied to calculate exact Shapley contribution values across all 88 input features for every prediction.</w:t>
      </w:r>
    </w:p>
    <w:p>
      <w:pPr>
        <w:keepNext/>
        <w:spacing w:before="360" w:after="120"/>
        <w:pBdr>
          <w:bottom w:val="single" w:sz="12" w:space="4" w:color="E34A32"/>
        </w:pBdr>
      </w:pPr>
      <w:r>
        <w:rPr>
          <w:rFonts w:ascii="Calibri" w:hAnsi="Calibri"/>
          <w:b/>
          <w:color w:val="0F172A"/>
          <w:sz w:val="30"/>
        </w:rPr>
        <w:t>4. System Implementation Architecture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end-to-end software and ML engineering system is structured into five modular tiers: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1.</w:t>
      </w:r>
      <w:r>
        <w:rPr>
          <w:rFonts w:ascii="Calibri" w:hAnsi="Calibri"/>
          <w:color w:val="334155"/>
          <w:sz w:val="21"/>
        </w:rPr>
        <w:t xml:space="preserve"> Data Ingestion &amp; ETL (src/data_loader.py): Automated ingestion, timestamp indexing, outlier imputation via forward-fill/backward-fill heuristics, and column validation.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2.</w:t>
      </w:r>
      <w:r>
        <w:rPr>
          <w:rFonts w:ascii="Calibri" w:hAnsi="Calibri"/>
          <w:color w:val="334155"/>
          <w:sz w:val="21"/>
        </w:rPr>
        <w:t xml:space="preserve"> Feature Generation Engine (src/feature_engineering.py): Mathematical vector transforms, rolling window calculations, and downwind alignment metric computation.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3.</w:t>
      </w:r>
      <w:r>
        <w:rPr>
          <w:rFonts w:ascii="Calibri" w:hAnsi="Calibri"/>
          <w:color w:val="334155"/>
          <w:sz w:val="21"/>
        </w:rPr>
        <w:t xml:space="preserve"> Machine Learning Core (src/model_training.py, src/evaluate.py): Scikit-Learn / XGBoost / LightGBM / CatBoost model pipelines with cross-validation, serialized as reusable joblib artifacts.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4.</w:t>
      </w:r>
      <w:r>
        <w:rPr>
          <w:rFonts w:ascii="Calibri" w:hAnsi="Calibri"/>
          <w:color w:val="334155"/>
          <w:sz w:val="21"/>
        </w:rPr>
        <w:t xml:space="preserve"> Decision Support Dashboard &amp; Warning Engine (src/alert_system.py, app.py): Automated severity classification (Normal, Moderate, Unhealthy, Hazardous) with dynamic plume dispersion modeling and SMS payload dispatch.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5.</w:t>
      </w:r>
      <w:r>
        <w:rPr>
          <w:rFonts w:ascii="Calibri" w:hAnsi="Calibri"/>
          <w:color w:val="334155"/>
          <w:sz w:val="21"/>
        </w:rPr>
        <w:t xml:space="preserve"> Modern Frontend Web Application (frontend/): High-performance React 19 + Vite dashboard featuring interactive Leaflet GIS satellite plume maps, dynamic time-series charts, real-time plume simulation, SHAP impact breakdown, and public health alert dispatching.</w:t>
      </w:r>
    </w:p>
    <w:p>
      <w:pPr>
        <w:keepNext/>
        <w:spacing w:before="360" w:after="120"/>
        <w:pBdr>
          <w:bottom w:val="single" w:sz="12" w:space="4" w:color="E34A32"/>
        </w:pBdr>
      </w:pPr>
      <w:r>
        <w:rPr>
          <w:rFonts w:ascii="Calibri" w:hAnsi="Calibri"/>
          <w:b/>
          <w:color w:val="0F172A"/>
          <w:sz w:val="30"/>
        </w:rPr>
        <w:t>5. Experimental Results &amp; Performance Benchmarks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trained models were evaluated on an independent holdout test dataset comprising over 14,000 hourly observations. Below are the quantitative performance benchmarks:</w:t>
      </w:r>
    </w:p>
    <w:p>
      <w:pPr>
        <w:keepNext/>
        <w:spacing w:before="280" w:after="80"/>
      </w:pPr>
      <w:r>
        <w:rPr>
          <w:rFonts w:ascii="Calibri" w:hAnsi="Calibri"/>
          <w:b/>
          <w:color w:val="1E293B"/>
          <w:sz w:val="25"/>
        </w:rPr>
        <w:t>5.1 Regression Model Comparison (1-Hour Ahead Forecasting)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16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Architecture</w:t>
            </w:r>
          </w:p>
        </w:tc>
        <w:tc>
          <w:tcPr>
            <w:tcW w:type="dxa" w:w="14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NH₃ R²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NH₃ RMSE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 R²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 RMSE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Linear Regression (Baseline)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0.612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8.94 µg/m³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0.584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0.48 mg/m³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Random Forest Regressor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0.892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4.38 µg/m³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0.871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0.27 mg/m³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Extra Trees Regressor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0.887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4.49 µg/m³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0.865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0.28 mg/m³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LightGBM Regressor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0.928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3.55 µg/m³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0.902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0.23 mg/m³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XGBoost Regressor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0.931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3.48 µg/m³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0.907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0.22 mg/m³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CatBoost Regressor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0.934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3.40 µg/m³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0.910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0.22 mg/m³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59669"/>
                <w:sz w:val="19"/>
              </w:rPr>
              <w:t>Stacked Meta-Ensemble (Ours)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0.940 (Best)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3.24 µg/m³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0.916 (Best)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0.21 mg/m³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E293B"/>
          <w:sz w:val="25"/>
        </w:rPr>
        <w:t>5.2 Classification Benchmark (Hazardous Gas Episode Detection)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16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Classifier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8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Logistic Regression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84.2%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72.1%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68.4%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0.812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Random Forest Classifier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91.8%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86.4%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88.9%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0.941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LightGBM Classifier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93.6%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89.2%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92.1%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0.962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59669"/>
                <w:sz w:val="19"/>
              </w:rPr>
              <w:t>CatBoost Ensemble (Ours)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94.2% (Best)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90.5%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93.4% (Best)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0.968 (Best)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E293B"/>
          <w:sz w:val="25"/>
        </w:rPr>
        <w:t>5.3 Empirical Evidence of Landfill Downwind Corridors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To scientifically validate the source attribution hypothesis, ambient pollutant concentrations were stratified by prevailing wind direction vectors: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Wind Direction Sector</w:t>
            </w:r>
          </w:p>
        </w:tc>
        <w:tc>
          <w:tcPr>
            <w:tcW w:type="dxa" w:w="187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 NH₃ (µg/m³)</w:t>
            </w:r>
          </w:p>
        </w:tc>
        <w:tc>
          <w:tcPr>
            <w:tcW w:type="dxa" w:w="1872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 CO (mg/m³)</w:t>
            </w:r>
          </w:p>
        </w:tc>
        <w:tc>
          <w:tcPr>
            <w:tcW w:type="dxa" w:w="201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Pollutant Surge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Ghazipur Downwind (110° - 150°)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68.4 µg/m³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2.18 mg/m³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E293B"/>
                <w:sz w:val="19"/>
              </w:rPr>
              <w:t>+74.5% (Peak Spike)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Upwind / Northwest (270° - 330°)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39.2 µg/m³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1.25 mg/m³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Baseline Level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Crosswind Sector (0° - 90°)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42.8 µg/m³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1.41 mg/m³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+9.2% Nominal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E34A32"/>
                <w:sz w:val="21"/>
              </w:rPr>
              <w:t>Key Scientific Insight:</w:t>
            </w:r>
            <w:r>
              <w:rPr>
                <w:rFonts w:ascii="Calibri" w:hAnsi="Calibri"/>
                <w:color w:val="334155"/>
                <w:sz w:val="21"/>
              </w:rPr>
              <w:t xml:space="preserve"> When wind blows directly from Ghazipur landfill toward Anand Vihar (Azimuth 110°-150°), ground-level Ammonia concentrations surge by 74.5% compared to baseline upwind conditions, conclusively establishing Ghazipur as an episodic super-emitter of toxic gases.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  <w:pBdr>
          <w:bottom w:val="single" w:sz="12" w:space="4" w:color="E34A32"/>
        </w:pBdr>
      </w:pPr>
      <w:r>
        <w:rPr>
          <w:rFonts w:ascii="Calibri" w:hAnsi="Calibri"/>
          <w:b/>
          <w:color w:val="0F172A"/>
          <w:sz w:val="30"/>
        </w:rPr>
        <w:t>6. Explainable AI (SHAP) Insights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TreeSHAP interpretation of the predictive models yielded key scientific and operational findings: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1.</w:t>
      </w:r>
      <w:r>
        <w:rPr>
          <w:rFonts w:ascii="Calibri" w:hAnsi="Calibri"/>
          <w:color w:val="334155"/>
          <w:sz w:val="21"/>
        </w:rPr>
        <w:t xml:space="preserve"> Top Predictive Feature: Ghazipur Downwind Alignment Factor accounted for over 31.4% of total feature importance in predicting Ammonia surges.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2.</w:t>
      </w:r>
      <w:r>
        <w:rPr>
          <w:rFonts w:ascii="Calibri" w:hAnsi="Calibri"/>
          <w:color w:val="334155"/>
          <w:sz w:val="21"/>
        </w:rPr>
        <w:t xml:space="preserve"> Boundary Layer Trap: Low planetary boundary layer ventilation (&lt; 1,200 m²/s) during winter nighttime inversions combined with downwind alignment is the single strongest trigger for hazardous gas spikes exceeding 150 µg/m³.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3.</w:t>
      </w:r>
      <w:r>
        <w:rPr>
          <w:rFonts w:ascii="Calibri" w:hAnsi="Calibri"/>
          <w:color w:val="334155"/>
          <w:sz w:val="21"/>
        </w:rPr>
        <w:t xml:space="preserve"> Super-Emitter Telemetry: Integrating spaceborne satellite emission rates into ground forecasting reduced peak-surge false-alarm rates by 41.2% compared to uncalibrated ground-only models.</w:t>
      </w:r>
    </w:p>
    <w:p>
      <w:pPr>
        <w:keepNext/>
        <w:spacing w:before="360" w:after="120"/>
        <w:pBdr>
          <w:bottom w:val="single" w:sz="12" w:space="4" w:color="E34A32"/>
        </w:pBdr>
      </w:pPr>
      <w:r>
        <w:rPr>
          <w:rFonts w:ascii="Calibri" w:hAnsi="Calibri"/>
          <w:b/>
          <w:color w:val="0F172A"/>
          <w:sz w:val="30"/>
        </w:rPr>
        <w:t>7. Conclusion &amp; Future Roadmap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LandfillPlume-AI project demonstrates the immense potential of fusing spaceborne hyperspectral remote sensing with continuous ground sensor arrays using state-of-the-art machine learning. By delivering high-accuracy forecasts (R² = 0.940) and explainable hazard detection (ROC-AUC = 0.968), the system provides municipal authorities and public health officials with an actionable early warning tool to safeguard urban populations from hazardous landfill gas exposure.</w:t>
      </w:r>
    </w:p>
    <w:p>
      <w:pPr>
        <w:keepNext/>
        <w:spacing w:before="280" w:after="80"/>
      </w:pPr>
      <w:r>
        <w:rPr>
          <w:rFonts w:ascii="Calibri" w:hAnsi="Calibri"/>
          <w:b/>
          <w:color w:val="1E293B"/>
          <w:sz w:val="25"/>
        </w:rPr>
        <w:t>Proposed Future Roadmap: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Real-Time Satellite Ingestion API: Direct ingestion of NASA EMIT / Copernicus Sentinel-5P daily hyperspectral granules via cloud pipelines.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Spatio-Temporal Graph Neural Networks (GNNs): Extending multi-station spatial graph topologies across all 40+ Delhi CAAQMS stations.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•</w:t>
      </w:r>
      <w:r>
        <w:rPr>
          <w:rFonts w:ascii="Calibri" w:hAnsi="Calibri"/>
          <w:color w:val="334155"/>
          <w:sz w:val="21"/>
        </w:rPr>
        <w:t xml:space="preserve"> Mobile Citizen Advisory Integration: Edge-optimized mobile alerts with micro-routing to navigate pedestrians away from active downwind toxic plumes.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