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322BB" w14:textId="77777777" w:rsidR="00153A61" w:rsidRDefault="00402665">
      <w:pPr>
        <w:spacing w:after="160"/>
        <w:jc w:val="center"/>
      </w:pPr>
      <w:r>
        <w:rPr>
          <w:rFonts w:ascii="Times New Roman" w:hAnsi="Times New Roman"/>
          <w:b/>
          <w:color w:val="0F172A"/>
          <w:sz w:val="36"/>
        </w:rPr>
        <w:t>LandfillPlume-AI: Satellite-Ground Sensor Fusion for Hazardous Gas Forecasting and Early-Warning</w:t>
      </w:r>
    </w:p>
    <w:p w14:paraId="54F852DF" w14:textId="77777777" w:rsidR="00153A61" w:rsidRDefault="00402665">
      <w:pPr>
        <w:spacing w:before="80" w:after="40"/>
        <w:jc w:val="center"/>
      </w:pPr>
      <w:r>
        <w:rPr>
          <w:rFonts w:ascii="Times New Roman" w:hAnsi="Times New Roman"/>
          <w:b/>
        </w:rPr>
        <w:t>Rohit Ghosh</w:t>
      </w:r>
      <w:r>
        <w:rPr>
          <w:rFonts w:ascii="Times New Roman" w:hAnsi="Times New Roman"/>
          <w:b/>
        </w:rPr>
        <w:br/>
      </w:r>
      <w:r>
        <w:rPr>
          <w:rFonts w:ascii="Times New Roman" w:hAnsi="Times New Roman"/>
          <w:i/>
          <w:color w:val="475569"/>
          <w:sz w:val="20"/>
        </w:rPr>
        <w:t>Department of Computer Science and Engineering, School of Sciences</w:t>
      </w:r>
      <w:r>
        <w:rPr>
          <w:rFonts w:ascii="Times New Roman" w:hAnsi="Times New Roman"/>
          <w:i/>
          <w:color w:val="475569"/>
          <w:sz w:val="20"/>
        </w:rPr>
        <w:br/>
        <w:t>Christ (Deemed to be University), Delhi NCR, India</w:t>
      </w:r>
      <w:r>
        <w:rPr>
          <w:rFonts w:ascii="Times New Roman" w:hAnsi="Times New Roman"/>
          <w:i/>
          <w:color w:val="475569"/>
          <w:sz w:val="20"/>
        </w:rPr>
        <w:br/>
        <w:t>Email: rohit.ghosh@res.christuniversity.in</w:t>
      </w:r>
    </w:p>
    <w:p w14:paraId="073DA643" w14:textId="77777777" w:rsidR="006A267B" w:rsidRDefault="006A267B">
      <w:pPr>
        <w:spacing w:after="120"/>
        <w:jc w:val="both"/>
        <w:rPr>
          <w:rFonts w:ascii="Times New Roman" w:hAnsi="Times New Roman"/>
          <w:b/>
          <w:sz w:val="19"/>
        </w:rPr>
        <w:sectPr w:rsidR="006A267B" w:rsidSect="00034616">
          <w:pgSz w:w="12240" w:h="15840"/>
          <w:pgMar w:top="1080" w:right="1080" w:bottom="1080" w:left="1080" w:header="720" w:footer="720" w:gutter="0"/>
          <w:cols w:space="720"/>
          <w:docGrid w:linePitch="360"/>
        </w:sectPr>
      </w:pPr>
    </w:p>
    <w:p w14:paraId="16456873" w14:textId="77777777" w:rsidR="00153A61" w:rsidRDefault="00402665">
      <w:pPr>
        <w:spacing w:after="120"/>
        <w:jc w:val="both"/>
      </w:pPr>
      <w:r>
        <w:rPr>
          <w:rFonts w:ascii="Times New Roman" w:hAnsi="Times New Roman"/>
          <w:b/>
          <w:sz w:val="19"/>
        </w:rPr>
        <w:t xml:space="preserve">Abstract— </w:t>
      </w:r>
      <w:r>
        <w:rPr>
          <w:rFonts w:ascii="Times New Roman" w:hAnsi="Times New Roman"/>
          <w:sz w:val="19"/>
        </w:rPr>
        <w:t>Municipal solid waste (MSW) landfills in hyper-dense urban agglomerations are massive, unmanaged point-sources of greenhouse gases and acute toxic air pollutants. In the National Capital Region (NCR) of Delhi, legacy dumpsites—most notably the Ghazipur landfill—undergo continuous anaerobic digestion and spontaneous subsurface combustion, releasing hazardous plumes of Methane (CH4), Ammonia (NH3), Carbon Monoxide (CO), Particulate Matter (PM2.5, PM10), and volatile organic compounds (VOCs). Traditional space</w:t>
      </w:r>
      <w:r>
        <w:rPr>
          <w:rFonts w:ascii="Times New Roman" w:hAnsi="Times New Roman"/>
          <w:sz w:val="19"/>
        </w:rPr>
        <w:t>borne hyperspectral sensors capture episodic point-source emission rates (kg/hr) but suffer from multi-week revisit latencies, while ground-level continuous ambient air quality monitoring stations provide 15-minute telemetry but lack direct source attribution. This study presents LandfillPlume-AI, an end-to-end physics-informed machine learning and Explainable Artificial Intelligence (XAI) framework that harmonizes 23 spaceborne hyperspectral plume observations from NASA EMIT and ESA EnMAP with 70,176 conti</w:t>
      </w:r>
      <w:r>
        <w:rPr>
          <w:rFonts w:ascii="Times New Roman" w:hAnsi="Times New Roman"/>
          <w:sz w:val="19"/>
        </w:rPr>
        <w:t>nuous ground-level observations from the DPCC Anand Vihar station (~2.8 km downwind). We engineer physical dispersion features, including Cartesian wind vector components (u, v), a 130.0° geometric plume alignment index, and atmospheric ventilation stagnation proxies. Benchmark evaluations across linear, bagging, and gradient-boosted tree architectures demonstrate champion performance: LightGBM and Ridge regression achieve R² = 0.9293 for PM2.5, R² = 0.9002 for Benzene, and R² = 0.8462 for NH3 in 1-hour ahe</w:t>
      </w:r>
      <w:r>
        <w:rPr>
          <w:rFonts w:ascii="Times New Roman" w:hAnsi="Times New Roman"/>
          <w:sz w:val="19"/>
        </w:rPr>
        <w:t>ad continuous forecasting. For acute toxic episode classification, an ensemble Random Forest achieves an F1-score of 0.9995 and an ROC-AUC of 1.0000 with zero false-negative misses. Game-theoretic TreeSHAP interpretability confirms that Ghazipur geometric alignment accounts for an 18.5% direct non-lag attribution, empirically proving a +74.5% NH3 downwind surge (p &lt; 0.001) and a nocturnal boundary layer trapping peak (79.8 µg/m³) between 02:00 and 06:00 IST. The framework is deployed as a dual-interface pla</w:t>
      </w:r>
      <w:r>
        <w:rPr>
          <w:rFonts w:ascii="Times New Roman" w:hAnsi="Times New Roman"/>
          <w:sz w:val="19"/>
        </w:rPr>
        <w:t>tform integrating a dynamic Leaflet GIS Gaussian dispersion cone, real-time local SHAP waterfall decomposition, and a clinical early-warning engine that provides persona-adaptive health risk indices and safe-zone evacuation routing (yielding an 88% - 94% exposure reduction).</w:t>
      </w:r>
    </w:p>
    <w:p w14:paraId="7FC4D42C" w14:textId="77777777" w:rsidR="00153A61" w:rsidRDefault="00402665">
      <w:pPr>
        <w:spacing w:after="280"/>
        <w:jc w:val="both"/>
      </w:pPr>
      <w:r>
        <w:rPr>
          <w:rFonts w:ascii="Times New Roman" w:hAnsi="Times New Roman"/>
          <w:b/>
          <w:sz w:val="19"/>
        </w:rPr>
        <w:t xml:space="preserve">Keywords— </w:t>
      </w:r>
      <w:r>
        <w:rPr>
          <w:rFonts w:ascii="Times New Roman" w:hAnsi="Times New Roman"/>
          <w:i/>
          <w:sz w:val="19"/>
        </w:rPr>
        <w:t xml:space="preserve">Methane super-emitters, Landfill gas dispersion, Hyperspectral remote sensing, NASA EMIT, </w:t>
      </w:r>
      <w:r>
        <w:rPr>
          <w:rFonts w:ascii="Times New Roman" w:hAnsi="Times New Roman"/>
          <w:i/>
          <w:sz w:val="19"/>
        </w:rPr>
        <w:t>Physics-informed machine learning, Explainable AI (XAI), TreeSHAP, DPCC Anand Vihar, Clinical early-warning.</w:t>
      </w:r>
    </w:p>
    <w:p w14:paraId="3D0C985E" w14:textId="77777777" w:rsidR="00153A61" w:rsidRDefault="00402665">
      <w:pPr>
        <w:keepNext/>
        <w:spacing w:before="280" w:after="80"/>
      </w:pPr>
      <w:r>
        <w:rPr>
          <w:rFonts w:ascii="Times New Roman" w:hAnsi="Times New Roman"/>
          <w:b/>
          <w:color w:val="0F172A"/>
          <w:sz w:val="21"/>
        </w:rPr>
        <w:t>I. INTRODUCTION</w:t>
      </w:r>
    </w:p>
    <w:p w14:paraId="273E15B5" w14:textId="77777777" w:rsidR="00153A61" w:rsidRDefault="00402665">
      <w:pPr>
        <w:spacing w:after="100"/>
        <w:jc w:val="both"/>
      </w:pPr>
      <w:r>
        <w:rPr>
          <w:rFonts w:ascii="Times New Roman" w:hAnsi="Times New Roman"/>
          <w:color w:val="1E293B"/>
          <w:sz w:val="20"/>
        </w:rPr>
        <w:t>Rapid municipal expansion in developing metropolises has outpaced solid waste management infrastructure. In the National Capital Region (NCR) of Delhi, India, over 11,000 metric tons of municipal solid waste (MSW) are generated daily, with substantial fractions dumped without segregation at legacy, unlined landfills: Ghazipur (East Delhi), Bhalswa (North Delhi), Okhla (South Delhi), and Bandhwari (Gurugram border) [1], [2]. The Ghazipur dumpsite, commissioned in 1984, exceeded its designed capacity by 2002;</w:t>
      </w:r>
      <w:r>
        <w:rPr>
          <w:rFonts w:ascii="Times New Roman" w:hAnsi="Times New Roman"/>
          <w:color w:val="1E293B"/>
          <w:sz w:val="20"/>
        </w:rPr>
        <w:t xml:space="preserve"> it currently spans over 70 acres and towers more than 65 meters in height, holding an estimated 14 million metric tons of decomposing refuse.</w:t>
      </w:r>
    </w:p>
    <w:p w14:paraId="13D38624" w14:textId="77777777" w:rsidR="00153A61" w:rsidRDefault="00402665">
      <w:pPr>
        <w:spacing w:after="100"/>
        <w:jc w:val="both"/>
      </w:pPr>
      <w:r>
        <w:rPr>
          <w:rFonts w:ascii="Times New Roman" w:hAnsi="Times New Roman"/>
          <w:color w:val="1E293B"/>
          <w:sz w:val="20"/>
        </w:rPr>
        <w:t>Biochemical degradation within unmanaged landfills progresses through sequential phases: aerobic respiration rapidly depletes entrapped oxygen, transitioning into acidogenesis and anaerobic methanogenesis [3]. This generates landfill gas (LFG), comprising approximately 50% - 55% Methane (CH4) and 40% - 45% Carbon Dioxide (CO2), accompanied by lethal co-pollutants including Ammonia (NH3), Hydrogen Sulfide (H2S), Carbon Monoxide (CO), and toxic Volatile Organic Compounds (VOCs such as Benzene and Toluene) [4]</w:t>
      </w:r>
      <w:r>
        <w:rPr>
          <w:rFonts w:ascii="Times New Roman" w:hAnsi="Times New Roman"/>
          <w:color w:val="1E293B"/>
          <w:sz w:val="20"/>
        </w:rPr>
        <w:t>, [5]. Furthermore, internal gas migration through porous waste strata frequently triggers spontaneous subsurface combustion, generating heavy emissions of Particulate Matter (PM2.5, PM10) and toxic combustion derivatives [6].</w:t>
      </w:r>
    </w:p>
    <w:p w14:paraId="34CDCE33" w14:textId="77777777" w:rsidR="00153A61" w:rsidRDefault="00402665">
      <w:pPr>
        <w:spacing w:after="100"/>
        <w:jc w:val="both"/>
      </w:pPr>
      <w:r>
        <w:rPr>
          <w:rFonts w:ascii="Times New Roman" w:hAnsi="Times New Roman"/>
          <w:color w:val="1E293B"/>
          <w:sz w:val="20"/>
        </w:rPr>
        <w:t xml:space="preserve">Densely populated residential settlements and critical transit hubs surround the Ghazipur perimeter: Ghazipur Village (0.6 km), Kaushambi (1.7 km), Kalyanpuri (2.1 km), and the Anand Vihar Inter-State Bus Terminus (ISBT) and Railway Station (2.8 km). The Delhi Pollution Control Committee (DPCC) operates a Continuous Ambient Air Quality Monitoring Station (CAAQMS) at Anand Vihar, historically recording some of the most hazardous air quality indices globally [7]. However, municipal agencies and public health </w:t>
      </w:r>
      <w:r>
        <w:rPr>
          <w:rFonts w:ascii="Times New Roman" w:hAnsi="Times New Roman"/>
          <w:color w:val="1E293B"/>
          <w:sz w:val="20"/>
        </w:rPr>
        <w:t xml:space="preserve">authorities face a </w:t>
      </w:r>
      <w:r>
        <w:rPr>
          <w:rFonts w:ascii="Times New Roman" w:hAnsi="Times New Roman"/>
          <w:color w:val="1E293B"/>
          <w:sz w:val="20"/>
        </w:rPr>
        <w:lastRenderedPageBreak/>
        <w:t>critical operational blind spot: the fundamental disconnect between remote sensing emissions quantification and ground-level exposure attribution.</w:t>
      </w:r>
    </w:p>
    <w:p w14:paraId="566C3A11" w14:textId="77777777" w:rsidR="00153A61" w:rsidRDefault="00402665">
      <w:pPr>
        <w:spacing w:after="100"/>
        <w:jc w:val="both"/>
      </w:pPr>
      <w:r>
        <w:rPr>
          <w:rFonts w:ascii="Times New Roman" w:hAnsi="Times New Roman"/>
          <w:color w:val="1E293B"/>
          <w:sz w:val="20"/>
        </w:rPr>
        <w:t xml:space="preserve">Spaceborne imaging spectrometers, such as NASA's Earth Surface Mineral Dust Source Investigation (EMIT) installed aboard the International Space Station (ISS) and the European Space Agency's (ESA) Environmental Mapping and Analysis Program (EnMAP), have revolutionized point-source greenhouse gas detection [8], [9]. These sensors measure shortwave infrared (SWIR) absorption bands, quantifying high-resolution methane column enhancements and mass emission flux rates (kg/hr). Nevertheless, orbital dynamics and </w:t>
      </w:r>
      <w:r>
        <w:rPr>
          <w:rFonts w:ascii="Times New Roman" w:hAnsi="Times New Roman"/>
          <w:color w:val="1E293B"/>
          <w:sz w:val="20"/>
        </w:rPr>
        <w:t>cloud cover limit satellite overpasses to sporadic intervals (revisit times ranging from 5 to 20 days), rendering spaceborne sensing incapable of real-time early warning. Conversely, ground-based CAAQMS monitors provide high-frequency (15-minute) continuous time-series of criteria gases and micrometeorology, but fail to decouple point-source landfill plumes from regional vehicular and industrial background emissions [10].</w:t>
      </w:r>
    </w:p>
    <w:p w14:paraId="10FC7938" w14:textId="77777777" w:rsidR="00153A61" w:rsidRDefault="00402665">
      <w:pPr>
        <w:spacing w:after="100"/>
        <w:jc w:val="both"/>
      </w:pPr>
      <w:r>
        <w:rPr>
          <w:rFonts w:ascii="Times New Roman" w:hAnsi="Times New Roman"/>
          <w:color w:val="1E293B"/>
          <w:sz w:val="20"/>
        </w:rPr>
        <w:t>To bridge this operational and scientific gap, this paper introduces LandfillPlume-AI, an end-to-end framework integrating spaceborne remote sensing with high-resolution ground telemetry via physics-informed machine learning and Explainable Artificial Intelligence (XAI).</w:t>
      </w:r>
    </w:p>
    <w:p w14:paraId="40C3010E" w14:textId="77777777" w:rsidR="00153A61" w:rsidRDefault="00402665">
      <w:pPr>
        <w:keepNext/>
        <w:spacing w:before="280" w:after="80"/>
      </w:pPr>
      <w:r>
        <w:rPr>
          <w:rFonts w:ascii="Times New Roman" w:hAnsi="Times New Roman"/>
          <w:b/>
          <w:color w:val="0F172A"/>
          <w:sz w:val="21"/>
        </w:rPr>
        <w:t>II. LITERATURE REVIEW</w:t>
      </w:r>
    </w:p>
    <w:p w14:paraId="140C5A45" w14:textId="77777777" w:rsidR="00153A61" w:rsidRDefault="00402665">
      <w:pPr>
        <w:keepNext/>
        <w:spacing w:before="200" w:after="60"/>
      </w:pPr>
      <w:r>
        <w:rPr>
          <w:rFonts w:ascii="Times New Roman" w:hAnsi="Times New Roman"/>
          <w:b/>
          <w:i/>
          <w:color w:val="1E293B"/>
          <w:sz w:val="20"/>
        </w:rPr>
        <w:t>A. Satellite Remote Sensing of Methane Super-Emitters</w:t>
      </w:r>
    </w:p>
    <w:p w14:paraId="38EFB6EC" w14:textId="77777777" w:rsidR="00153A61" w:rsidRDefault="00402665">
      <w:pPr>
        <w:spacing w:after="100"/>
        <w:jc w:val="both"/>
      </w:pPr>
      <w:r>
        <w:rPr>
          <w:rFonts w:ascii="Times New Roman" w:hAnsi="Times New Roman"/>
          <w:color w:val="1E293B"/>
          <w:sz w:val="20"/>
        </w:rPr>
        <w:t>The identification of localized point-source greenhouse gas emissions, termed 'super-emitters', has advanced through spaceborne imaging spectrometry. Cusworth et al. [8] demonstrated that a minuscule fraction (&lt;1%) of infrastructure sites contribute over 50% of point-source methane emissions in urban basins. Thorpe et al. [9] and Guanter et al. [11] verified that high-resolution sensors, including NASA's AVIRIS-NG and EMIT, alongside ESA's EnMAP and PRISMA, accurately retrieve methane column enhancements by</w:t>
      </w:r>
      <w:r>
        <w:rPr>
          <w:rFonts w:ascii="Times New Roman" w:hAnsi="Times New Roman"/>
          <w:color w:val="1E293B"/>
          <w:sz w:val="20"/>
        </w:rPr>
        <w:t xml:space="preserve"> exploiting characteristic absorption doublets in the 2.1 - 2.4 µm SWIR spectral window. Using matched-filter and optical flow retrieval algorithms, emission flux rates (Q, in kg/hr) are derived using the Integrated Methane Enhancement (IME) method:</w:t>
      </w:r>
    </w:p>
    <w:p w14:paraId="5F495BDE" w14:textId="77777777" w:rsidR="00153A61" w:rsidRDefault="00402665">
      <w:pPr>
        <w:spacing w:before="80" w:after="120"/>
        <w:jc w:val="center"/>
      </w:pPr>
      <w:r>
        <w:rPr>
          <w:rFonts w:ascii="Cambria Math" w:hAnsi="Cambria Math"/>
          <w:i/>
          <w:sz w:val="20"/>
        </w:rPr>
        <w:t>Q = (IME / L) · U_eff</w:t>
      </w:r>
      <w:r>
        <w:rPr>
          <w:rFonts w:ascii="Times New Roman" w:hAnsi="Times New Roman"/>
          <w:sz w:val="20"/>
        </w:rPr>
        <w:tab/>
      </w:r>
      <w:r>
        <w:rPr>
          <w:rFonts w:ascii="Times New Roman" w:hAnsi="Times New Roman"/>
          <w:sz w:val="20"/>
        </w:rPr>
        <w:tab/>
      </w:r>
      <w:r>
        <w:rPr>
          <w:rFonts w:ascii="Times New Roman" w:hAnsi="Times New Roman"/>
          <w:sz w:val="20"/>
        </w:rPr>
        <w:tab/>
        <w:t>(1)</w:t>
      </w:r>
    </w:p>
    <w:p w14:paraId="1C562F37" w14:textId="77777777" w:rsidR="00153A61" w:rsidRDefault="00402665">
      <w:pPr>
        <w:spacing w:after="100"/>
        <w:jc w:val="both"/>
      </w:pPr>
      <w:r>
        <w:rPr>
          <w:rFonts w:ascii="Times New Roman" w:hAnsi="Times New Roman"/>
          <w:color w:val="1E293B"/>
          <w:sz w:val="20"/>
        </w:rPr>
        <w:t xml:space="preserve">where IME denotes the integrated plume mass, L is the characteristic plume length, and U_eff is the effective advective wind velocity [12]. However, Jacob et al. [13] </w:t>
      </w:r>
      <w:r>
        <w:rPr>
          <w:rFonts w:ascii="Times New Roman" w:hAnsi="Times New Roman"/>
          <w:color w:val="1E293B"/>
          <w:sz w:val="20"/>
        </w:rPr>
        <w:t>emphasized that while satellite retrievals identify massive super-emitters, their temporal discontinuity prevents dynamic dispersion tracking at the urban street level.</w:t>
      </w:r>
    </w:p>
    <w:p w14:paraId="315E031C" w14:textId="77777777" w:rsidR="00153A61" w:rsidRDefault="00402665">
      <w:pPr>
        <w:keepNext/>
        <w:spacing w:before="200" w:after="60"/>
      </w:pPr>
      <w:r>
        <w:rPr>
          <w:rFonts w:ascii="Times New Roman" w:hAnsi="Times New Roman"/>
          <w:b/>
          <w:i/>
          <w:color w:val="1E293B"/>
          <w:sz w:val="20"/>
        </w:rPr>
        <w:t>B. Machine Learning in Ambient Air Quality Forecasting</w:t>
      </w:r>
    </w:p>
    <w:p w14:paraId="7EAA1080" w14:textId="77777777" w:rsidR="00153A61" w:rsidRDefault="00402665">
      <w:pPr>
        <w:spacing w:after="100"/>
        <w:jc w:val="both"/>
      </w:pPr>
      <w:r>
        <w:rPr>
          <w:rFonts w:ascii="Times New Roman" w:hAnsi="Times New Roman"/>
          <w:color w:val="1E293B"/>
          <w:sz w:val="20"/>
        </w:rPr>
        <w:t>Machine learning has superseded classical autoregressive integrated moving average (ARIMA) models in environmental time-series forecasting. Support Vector Regression (SVR), Multi-Layer Perceptrons (MLPs), and Long Short-Term Memory (LSTM) recurrent networks have demonstrated capability in modeling non-linear atmospheric interactions [14], [15]. More recently, gradient-boosted decision trees—specifically XGBoost [16] and LightGBM [17]—have established state-of-the-art benchmarks in tabular environmental mode</w:t>
      </w:r>
      <w:r>
        <w:rPr>
          <w:rFonts w:ascii="Times New Roman" w:hAnsi="Times New Roman"/>
          <w:color w:val="1E293B"/>
          <w:sz w:val="20"/>
        </w:rPr>
        <w:t>ling due to their handling of heterogeneous data distributions, gradient-based leaf splitting, and computational efficiency. Despite predictive success, conventional ML approaches treat ambient stations as isolated entities, omitting directional point-source geometric alignment [18].</w:t>
      </w:r>
    </w:p>
    <w:p w14:paraId="5D47FBB4" w14:textId="77777777" w:rsidR="00153A61" w:rsidRDefault="00402665">
      <w:pPr>
        <w:keepNext/>
        <w:spacing w:before="200" w:after="60"/>
      </w:pPr>
      <w:r>
        <w:rPr>
          <w:rFonts w:ascii="Times New Roman" w:hAnsi="Times New Roman"/>
          <w:b/>
          <w:i/>
          <w:color w:val="1E293B"/>
          <w:sz w:val="20"/>
        </w:rPr>
        <w:t>C. Atmospheric Dispersion Modeling vs. Data-Driven Approaches</w:t>
      </w:r>
    </w:p>
    <w:p w14:paraId="2D901650" w14:textId="77777777" w:rsidR="00153A61" w:rsidRDefault="00402665">
      <w:pPr>
        <w:spacing w:after="100"/>
        <w:jc w:val="both"/>
      </w:pPr>
      <w:r>
        <w:rPr>
          <w:rFonts w:ascii="Times New Roman" w:hAnsi="Times New Roman"/>
          <w:color w:val="1E293B"/>
          <w:sz w:val="20"/>
        </w:rPr>
        <w:t>Classical atmospheric dispersion relies on Gaussian plume models and Eulerian-Lagrangian chemical transport models (such as AERMOD, CALPUFF, and WRF-Chem) [19]. The steady-state Gaussian dispersion equation models concentration C(x, y, z) at receptor coordinates downwind of a point-source of emission rate Q at effective height H:</w:t>
      </w:r>
    </w:p>
    <w:p w14:paraId="0BB4C073" w14:textId="77777777" w:rsidR="00153A61" w:rsidRDefault="00402665">
      <w:pPr>
        <w:spacing w:before="80" w:after="120"/>
        <w:jc w:val="center"/>
      </w:pPr>
      <w:r>
        <w:rPr>
          <w:rFonts w:ascii="Cambria Math" w:hAnsi="Cambria Math"/>
          <w:i/>
          <w:sz w:val="20"/>
        </w:rPr>
        <w:t>C(x,y,z) = [Q / (2π u σ_y σ_z)] · exp(-y² / 2σ_y²) · [exp(-(z-H)² / 2σ_z²) + exp(-(z+H)² / 2σ_z²)]</w:t>
      </w:r>
      <w:r>
        <w:rPr>
          <w:rFonts w:ascii="Times New Roman" w:hAnsi="Times New Roman"/>
          <w:sz w:val="20"/>
        </w:rPr>
        <w:tab/>
      </w:r>
      <w:r>
        <w:rPr>
          <w:rFonts w:ascii="Times New Roman" w:hAnsi="Times New Roman"/>
          <w:sz w:val="20"/>
        </w:rPr>
        <w:tab/>
      </w:r>
      <w:r>
        <w:rPr>
          <w:rFonts w:ascii="Times New Roman" w:hAnsi="Times New Roman"/>
          <w:sz w:val="20"/>
        </w:rPr>
        <w:tab/>
        <w:t>(2)</w:t>
      </w:r>
    </w:p>
    <w:p w14:paraId="3047B6E6" w14:textId="77777777" w:rsidR="00153A61" w:rsidRDefault="00402665">
      <w:pPr>
        <w:spacing w:after="100"/>
        <w:jc w:val="both"/>
      </w:pPr>
      <w:r>
        <w:rPr>
          <w:rFonts w:ascii="Times New Roman" w:hAnsi="Times New Roman"/>
          <w:color w:val="1E293B"/>
          <w:sz w:val="20"/>
        </w:rPr>
        <w:t>where σ_y and σ_z are horizontal and vertical dispersion coefficients parameterized by Pasquill-Gifford atmospheric stability classes [20]. Although physically rigorous, numerical dispersion models require fine-scale boundary layer profiling and surface roughness tensors that are rarely accessible in municipal operations.</w:t>
      </w:r>
    </w:p>
    <w:p w14:paraId="4A405518" w14:textId="77777777" w:rsidR="00153A61" w:rsidRDefault="00402665">
      <w:pPr>
        <w:keepNext/>
        <w:spacing w:before="200" w:after="60"/>
      </w:pPr>
      <w:r>
        <w:rPr>
          <w:rFonts w:ascii="Times New Roman" w:hAnsi="Times New Roman"/>
          <w:b/>
          <w:i/>
          <w:color w:val="1E293B"/>
          <w:sz w:val="20"/>
        </w:rPr>
        <w:t>D. Explainable AI and Clinical Exposure Decision Systems</w:t>
      </w:r>
    </w:p>
    <w:p w14:paraId="210D54C2" w14:textId="77777777" w:rsidR="00153A61" w:rsidRDefault="00402665">
      <w:pPr>
        <w:spacing w:after="100"/>
        <w:jc w:val="both"/>
      </w:pPr>
      <w:r>
        <w:rPr>
          <w:rFonts w:ascii="Times New Roman" w:hAnsi="Times New Roman"/>
          <w:color w:val="1E293B"/>
          <w:sz w:val="20"/>
        </w:rPr>
        <w:t xml:space="preserve">Deploying machine learning models in public health domains necessitates explainability. Lundberg and Lee [21] introduced SHAP (SHapley Additive exPlanations), unifying cooperative game theory with machine learning interpretability. TreeSHAP provides exact, polynomial-time computation of Shapley values for tree ensembles, satisfying foundational axioms of local accuracy, </w:t>
      </w:r>
      <w:r>
        <w:rPr>
          <w:rFonts w:ascii="Times New Roman" w:hAnsi="Times New Roman"/>
          <w:color w:val="1E293B"/>
          <w:sz w:val="20"/>
        </w:rPr>
        <w:lastRenderedPageBreak/>
        <w:t>missingness, and consistency [22]. In air pollution research, SHAP has been utilized post-hoc to verify feature importances, but rarely integrated into live, operator-facing simulation tools [23].</w:t>
      </w:r>
    </w:p>
    <w:p w14:paraId="1779648E" w14:textId="77777777" w:rsidR="00153A61" w:rsidRDefault="00402665">
      <w:pPr>
        <w:keepNext/>
        <w:spacing w:before="280" w:after="80"/>
      </w:pPr>
      <w:r>
        <w:rPr>
          <w:rFonts w:ascii="Times New Roman" w:hAnsi="Times New Roman"/>
          <w:b/>
          <w:color w:val="0F172A"/>
          <w:sz w:val="21"/>
        </w:rPr>
        <w:t>III. METHODOLOGY</w:t>
      </w:r>
    </w:p>
    <w:p w14:paraId="27135967" w14:textId="77777777" w:rsidR="00153A61" w:rsidRDefault="00402665">
      <w:pPr>
        <w:keepNext/>
        <w:spacing w:before="200" w:after="60"/>
      </w:pPr>
      <w:r>
        <w:rPr>
          <w:rFonts w:ascii="Times New Roman" w:hAnsi="Times New Roman"/>
          <w:b/>
          <w:i/>
          <w:color w:val="1E293B"/>
          <w:sz w:val="20"/>
        </w:rPr>
        <w:t>A. Study Area and Multimodal Datasets</w:t>
      </w:r>
    </w:p>
    <w:p w14:paraId="2C5998A4" w14:textId="77777777" w:rsidR="00153A61" w:rsidRDefault="00402665">
      <w:pPr>
        <w:spacing w:after="100"/>
        <w:jc w:val="both"/>
      </w:pPr>
      <w:r>
        <w:rPr>
          <w:rFonts w:ascii="Times New Roman" w:hAnsi="Times New Roman"/>
          <w:color w:val="1E293B"/>
          <w:sz w:val="20"/>
        </w:rPr>
        <w:t>The primary study region encompasses East Delhi and the western border of Uttar Pradesh. The coordinate geometry defining the source-receptor system comprises: Ghazipur Landfill (28.6238°N, 77.3284°E), Bhalswa Landfill (28.7422°N, 77.1556°E), Okhla Landfill (28.5113°N, 77.2848°E), Bandhwari Landfill (28.4024°N, 77.1644°E), and the DPCC Anand Vihar Monitoring Hub (28.6469°N, 77.3160°E).</w:t>
      </w:r>
    </w:p>
    <w:p w14:paraId="0441855A" w14:textId="77777777" w:rsidR="00153A61" w:rsidRDefault="00402665">
      <w:pPr>
        <w:spacing w:before="160" w:after="40"/>
        <w:jc w:val="center"/>
      </w:pPr>
      <w:r>
        <w:rPr>
          <w:rFonts w:ascii="Times New Roman" w:hAnsi="Times New Roman"/>
          <w:b/>
          <w:sz w:val="17"/>
        </w:rPr>
        <w:t>TABLE I. GEOGRAPHIC AND OPERATIONAL COORDINATES OF LANDFILLS AND STATIONS</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993"/>
        <w:gridCol w:w="870"/>
        <w:gridCol w:w="909"/>
        <w:gridCol w:w="1121"/>
        <w:gridCol w:w="1027"/>
      </w:tblGrid>
      <w:tr w:rsidR="00153A61" w14:paraId="5A88DD96" w14:textId="77777777">
        <w:trPr>
          <w:tblHeader/>
          <w:jc w:val="center"/>
        </w:trPr>
        <w:tc>
          <w:tcPr>
            <w:tcW w:w="3168" w:type="dxa"/>
            <w:shd w:val="clear" w:color="auto" w:fill="0F172A"/>
            <w:tcMar>
              <w:top w:w="120" w:type="dxa"/>
              <w:left w:w="120" w:type="dxa"/>
              <w:bottom w:w="120" w:type="dxa"/>
              <w:right w:w="120" w:type="dxa"/>
            </w:tcMar>
          </w:tcPr>
          <w:p w14:paraId="60A582E5" w14:textId="77777777" w:rsidR="00153A61" w:rsidRDefault="00402665">
            <w:pPr>
              <w:spacing w:after="0"/>
            </w:pPr>
            <w:r>
              <w:rPr>
                <w:rFonts w:ascii="Times New Roman" w:hAnsi="Times New Roman"/>
                <w:b/>
                <w:color w:val="FFFFFF"/>
                <w:sz w:val="18"/>
              </w:rPr>
              <w:t>Site Description</w:t>
            </w:r>
          </w:p>
        </w:tc>
        <w:tc>
          <w:tcPr>
            <w:tcW w:w="1440" w:type="dxa"/>
            <w:shd w:val="clear" w:color="auto" w:fill="0F172A"/>
            <w:tcMar>
              <w:top w:w="120" w:type="dxa"/>
              <w:left w:w="120" w:type="dxa"/>
              <w:bottom w:w="120" w:type="dxa"/>
              <w:right w:w="120" w:type="dxa"/>
            </w:tcMar>
          </w:tcPr>
          <w:p w14:paraId="489B63AE" w14:textId="77777777" w:rsidR="00153A61" w:rsidRDefault="00402665">
            <w:pPr>
              <w:spacing w:after="0"/>
              <w:jc w:val="center"/>
            </w:pPr>
            <w:r>
              <w:rPr>
                <w:rFonts w:ascii="Times New Roman" w:hAnsi="Times New Roman"/>
                <w:b/>
                <w:color w:val="FFFFFF"/>
                <w:sz w:val="18"/>
              </w:rPr>
              <w:t>Latitude</w:t>
            </w:r>
          </w:p>
        </w:tc>
        <w:tc>
          <w:tcPr>
            <w:tcW w:w="1440" w:type="dxa"/>
            <w:shd w:val="clear" w:color="auto" w:fill="0F172A"/>
            <w:tcMar>
              <w:top w:w="120" w:type="dxa"/>
              <w:left w:w="120" w:type="dxa"/>
              <w:bottom w:w="120" w:type="dxa"/>
              <w:right w:w="120" w:type="dxa"/>
            </w:tcMar>
          </w:tcPr>
          <w:p w14:paraId="0C4BF7E9" w14:textId="77777777" w:rsidR="00153A61" w:rsidRDefault="00402665">
            <w:pPr>
              <w:spacing w:after="0"/>
              <w:jc w:val="center"/>
            </w:pPr>
            <w:r>
              <w:rPr>
                <w:rFonts w:ascii="Times New Roman" w:hAnsi="Times New Roman"/>
                <w:b/>
                <w:color w:val="FFFFFF"/>
                <w:sz w:val="18"/>
              </w:rPr>
              <w:t>Longitude</w:t>
            </w:r>
          </w:p>
        </w:tc>
        <w:tc>
          <w:tcPr>
            <w:tcW w:w="2160" w:type="dxa"/>
            <w:shd w:val="clear" w:color="auto" w:fill="0F172A"/>
            <w:tcMar>
              <w:top w:w="120" w:type="dxa"/>
              <w:left w:w="120" w:type="dxa"/>
              <w:bottom w:w="120" w:type="dxa"/>
              <w:right w:w="120" w:type="dxa"/>
            </w:tcMar>
          </w:tcPr>
          <w:p w14:paraId="5972561F" w14:textId="77777777" w:rsidR="00153A61" w:rsidRDefault="00402665">
            <w:pPr>
              <w:spacing w:after="0"/>
              <w:jc w:val="center"/>
            </w:pPr>
            <w:r>
              <w:rPr>
                <w:rFonts w:ascii="Times New Roman" w:hAnsi="Times New Roman"/>
                <w:b/>
                <w:color w:val="FFFFFF"/>
                <w:sz w:val="18"/>
              </w:rPr>
              <w:t>Entity Classification</w:t>
            </w:r>
          </w:p>
        </w:tc>
        <w:tc>
          <w:tcPr>
            <w:tcW w:w="1872" w:type="dxa"/>
            <w:shd w:val="clear" w:color="auto" w:fill="0F172A"/>
            <w:tcMar>
              <w:top w:w="120" w:type="dxa"/>
              <w:left w:w="120" w:type="dxa"/>
              <w:bottom w:w="120" w:type="dxa"/>
              <w:right w:w="120" w:type="dxa"/>
            </w:tcMar>
          </w:tcPr>
          <w:p w14:paraId="125ED11C" w14:textId="77777777" w:rsidR="00153A61" w:rsidRDefault="00402665">
            <w:pPr>
              <w:spacing w:after="0"/>
              <w:jc w:val="center"/>
            </w:pPr>
            <w:r>
              <w:rPr>
                <w:rFonts w:ascii="Times New Roman" w:hAnsi="Times New Roman"/>
                <w:b/>
                <w:color w:val="FFFFFF"/>
                <w:sz w:val="18"/>
              </w:rPr>
              <w:t>Operational Status</w:t>
            </w:r>
          </w:p>
        </w:tc>
      </w:tr>
      <w:tr w:rsidR="00153A61" w14:paraId="186A1103" w14:textId="77777777">
        <w:trPr>
          <w:jc w:val="center"/>
        </w:trPr>
        <w:tc>
          <w:tcPr>
            <w:tcW w:w="3168" w:type="dxa"/>
            <w:shd w:val="clear" w:color="auto" w:fill="FFFFFF"/>
            <w:tcMar>
              <w:top w:w="80" w:type="dxa"/>
              <w:left w:w="120" w:type="dxa"/>
              <w:bottom w:w="80" w:type="dxa"/>
              <w:right w:w="120" w:type="dxa"/>
            </w:tcMar>
          </w:tcPr>
          <w:p w14:paraId="4FA9A918" w14:textId="77777777" w:rsidR="00153A61" w:rsidRDefault="00402665">
            <w:pPr>
              <w:spacing w:after="0"/>
            </w:pPr>
            <w:r>
              <w:rPr>
                <w:rFonts w:ascii="Times New Roman" w:hAnsi="Times New Roman"/>
                <w:b/>
                <w:color w:val="1E293B"/>
                <w:sz w:val="17"/>
              </w:rPr>
              <w:t>Ghazipur Landfill (Primary Focus)</w:t>
            </w:r>
          </w:p>
        </w:tc>
        <w:tc>
          <w:tcPr>
            <w:tcW w:w="1440" w:type="dxa"/>
            <w:shd w:val="clear" w:color="auto" w:fill="FFFFFF"/>
            <w:tcMar>
              <w:top w:w="80" w:type="dxa"/>
              <w:left w:w="120" w:type="dxa"/>
              <w:bottom w:w="80" w:type="dxa"/>
              <w:right w:w="120" w:type="dxa"/>
            </w:tcMar>
          </w:tcPr>
          <w:p w14:paraId="3AC8E33F" w14:textId="77777777" w:rsidR="00153A61" w:rsidRDefault="00402665">
            <w:pPr>
              <w:spacing w:after="0"/>
              <w:jc w:val="center"/>
            </w:pPr>
            <w:r>
              <w:rPr>
                <w:rFonts w:ascii="Times New Roman" w:hAnsi="Times New Roman"/>
                <w:color w:val="1E293B"/>
                <w:sz w:val="17"/>
              </w:rPr>
              <w:t>28.6238°N</w:t>
            </w:r>
          </w:p>
        </w:tc>
        <w:tc>
          <w:tcPr>
            <w:tcW w:w="1440" w:type="dxa"/>
            <w:shd w:val="clear" w:color="auto" w:fill="FFFFFF"/>
            <w:tcMar>
              <w:top w:w="80" w:type="dxa"/>
              <w:left w:w="120" w:type="dxa"/>
              <w:bottom w:w="80" w:type="dxa"/>
              <w:right w:w="120" w:type="dxa"/>
            </w:tcMar>
          </w:tcPr>
          <w:p w14:paraId="47C2C672" w14:textId="77777777" w:rsidR="00153A61" w:rsidRDefault="00402665">
            <w:pPr>
              <w:spacing w:after="0"/>
              <w:jc w:val="center"/>
            </w:pPr>
            <w:r>
              <w:rPr>
                <w:rFonts w:ascii="Times New Roman" w:hAnsi="Times New Roman"/>
                <w:color w:val="1E293B"/>
                <w:sz w:val="17"/>
              </w:rPr>
              <w:t>77.3284°E</w:t>
            </w:r>
          </w:p>
        </w:tc>
        <w:tc>
          <w:tcPr>
            <w:tcW w:w="2160" w:type="dxa"/>
            <w:shd w:val="clear" w:color="auto" w:fill="FFFFFF"/>
            <w:tcMar>
              <w:top w:w="80" w:type="dxa"/>
              <w:left w:w="120" w:type="dxa"/>
              <w:bottom w:w="80" w:type="dxa"/>
              <w:right w:w="120" w:type="dxa"/>
            </w:tcMar>
          </w:tcPr>
          <w:p w14:paraId="1643E619" w14:textId="77777777" w:rsidR="00153A61" w:rsidRDefault="00402665">
            <w:pPr>
              <w:spacing w:after="0"/>
              <w:jc w:val="center"/>
            </w:pPr>
            <w:r>
              <w:rPr>
                <w:rFonts w:ascii="Times New Roman" w:hAnsi="Times New Roman"/>
                <w:color w:val="1E293B"/>
                <w:sz w:val="17"/>
              </w:rPr>
              <w:t>Unlined Solid Waste Dump</w:t>
            </w:r>
          </w:p>
        </w:tc>
        <w:tc>
          <w:tcPr>
            <w:tcW w:w="1872" w:type="dxa"/>
            <w:shd w:val="clear" w:color="auto" w:fill="FFFFFF"/>
            <w:tcMar>
              <w:top w:w="80" w:type="dxa"/>
              <w:left w:w="120" w:type="dxa"/>
              <w:bottom w:w="80" w:type="dxa"/>
              <w:right w:w="120" w:type="dxa"/>
            </w:tcMar>
          </w:tcPr>
          <w:p w14:paraId="45DF0906" w14:textId="77777777" w:rsidR="00153A61" w:rsidRDefault="00402665">
            <w:pPr>
              <w:spacing w:after="0"/>
              <w:jc w:val="center"/>
            </w:pPr>
            <w:r>
              <w:rPr>
                <w:rFonts w:ascii="Times New Roman" w:hAnsi="Times New Roman"/>
                <w:color w:val="1E293B"/>
                <w:sz w:val="17"/>
              </w:rPr>
              <w:t>Active Super-Emitter</w:t>
            </w:r>
          </w:p>
        </w:tc>
      </w:tr>
      <w:tr w:rsidR="00153A61" w14:paraId="36D2AE99" w14:textId="77777777">
        <w:trPr>
          <w:jc w:val="center"/>
        </w:trPr>
        <w:tc>
          <w:tcPr>
            <w:tcW w:w="3168" w:type="dxa"/>
            <w:shd w:val="clear" w:color="auto" w:fill="F8FAFC"/>
            <w:tcMar>
              <w:top w:w="80" w:type="dxa"/>
              <w:left w:w="120" w:type="dxa"/>
              <w:bottom w:w="80" w:type="dxa"/>
              <w:right w:w="120" w:type="dxa"/>
            </w:tcMar>
          </w:tcPr>
          <w:p w14:paraId="381B4DCC" w14:textId="77777777" w:rsidR="00153A61" w:rsidRDefault="00402665">
            <w:pPr>
              <w:spacing w:after="0"/>
            </w:pPr>
            <w:r>
              <w:rPr>
                <w:rFonts w:ascii="Times New Roman" w:hAnsi="Times New Roman"/>
                <w:b/>
                <w:color w:val="1E293B"/>
                <w:sz w:val="17"/>
              </w:rPr>
              <w:t>Bhalswa Landfill</w:t>
            </w:r>
          </w:p>
        </w:tc>
        <w:tc>
          <w:tcPr>
            <w:tcW w:w="1440" w:type="dxa"/>
            <w:shd w:val="clear" w:color="auto" w:fill="F8FAFC"/>
            <w:tcMar>
              <w:top w:w="80" w:type="dxa"/>
              <w:left w:w="120" w:type="dxa"/>
              <w:bottom w:w="80" w:type="dxa"/>
              <w:right w:w="120" w:type="dxa"/>
            </w:tcMar>
          </w:tcPr>
          <w:p w14:paraId="0A845D4F" w14:textId="77777777" w:rsidR="00153A61" w:rsidRDefault="00402665">
            <w:pPr>
              <w:spacing w:after="0"/>
              <w:jc w:val="center"/>
            </w:pPr>
            <w:r>
              <w:rPr>
                <w:rFonts w:ascii="Times New Roman" w:hAnsi="Times New Roman"/>
                <w:color w:val="1E293B"/>
                <w:sz w:val="17"/>
              </w:rPr>
              <w:t>28.7422°N</w:t>
            </w:r>
          </w:p>
        </w:tc>
        <w:tc>
          <w:tcPr>
            <w:tcW w:w="1440" w:type="dxa"/>
            <w:shd w:val="clear" w:color="auto" w:fill="F8FAFC"/>
            <w:tcMar>
              <w:top w:w="80" w:type="dxa"/>
              <w:left w:w="120" w:type="dxa"/>
              <w:bottom w:w="80" w:type="dxa"/>
              <w:right w:w="120" w:type="dxa"/>
            </w:tcMar>
          </w:tcPr>
          <w:p w14:paraId="12FC5D25" w14:textId="77777777" w:rsidR="00153A61" w:rsidRDefault="00402665">
            <w:pPr>
              <w:spacing w:after="0"/>
              <w:jc w:val="center"/>
            </w:pPr>
            <w:r>
              <w:rPr>
                <w:rFonts w:ascii="Times New Roman" w:hAnsi="Times New Roman"/>
                <w:color w:val="1E293B"/>
                <w:sz w:val="17"/>
              </w:rPr>
              <w:t>77.1556°E</w:t>
            </w:r>
          </w:p>
        </w:tc>
        <w:tc>
          <w:tcPr>
            <w:tcW w:w="2160" w:type="dxa"/>
            <w:shd w:val="clear" w:color="auto" w:fill="F8FAFC"/>
            <w:tcMar>
              <w:top w:w="80" w:type="dxa"/>
              <w:left w:w="120" w:type="dxa"/>
              <w:bottom w:w="80" w:type="dxa"/>
              <w:right w:w="120" w:type="dxa"/>
            </w:tcMar>
          </w:tcPr>
          <w:p w14:paraId="768E05D1" w14:textId="77777777" w:rsidR="00153A61" w:rsidRDefault="00402665">
            <w:pPr>
              <w:spacing w:after="0"/>
              <w:jc w:val="center"/>
            </w:pPr>
            <w:r>
              <w:rPr>
                <w:rFonts w:ascii="Times New Roman" w:hAnsi="Times New Roman"/>
                <w:color w:val="1E293B"/>
                <w:sz w:val="17"/>
              </w:rPr>
              <w:t>Unlined Solid Waste Dump</w:t>
            </w:r>
          </w:p>
        </w:tc>
        <w:tc>
          <w:tcPr>
            <w:tcW w:w="1872" w:type="dxa"/>
            <w:shd w:val="clear" w:color="auto" w:fill="F8FAFC"/>
            <w:tcMar>
              <w:top w:w="80" w:type="dxa"/>
              <w:left w:w="120" w:type="dxa"/>
              <w:bottom w:w="80" w:type="dxa"/>
              <w:right w:w="120" w:type="dxa"/>
            </w:tcMar>
          </w:tcPr>
          <w:p w14:paraId="418217AA" w14:textId="77777777" w:rsidR="00153A61" w:rsidRDefault="00402665">
            <w:pPr>
              <w:spacing w:after="0"/>
              <w:jc w:val="center"/>
            </w:pPr>
            <w:r>
              <w:rPr>
                <w:rFonts w:ascii="Times New Roman" w:hAnsi="Times New Roman"/>
                <w:color w:val="1E293B"/>
                <w:sz w:val="17"/>
              </w:rPr>
              <w:t>Active Super-Emitter</w:t>
            </w:r>
          </w:p>
        </w:tc>
      </w:tr>
      <w:tr w:rsidR="00153A61" w14:paraId="55BF6530" w14:textId="77777777">
        <w:trPr>
          <w:jc w:val="center"/>
        </w:trPr>
        <w:tc>
          <w:tcPr>
            <w:tcW w:w="3168" w:type="dxa"/>
            <w:shd w:val="clear" w:color="auto" w:fill="FFFFFF"/>
            <w:tcMar>
              <w:top w:w="80" w:type="dxa"/>
              <w:left w:w="120" w:type="dxa"/>
              <w:bottom w:w="80" w:type="dxa"/>
              <w:right w:w="120" w:type="dxa"/>
            </w:tcMar>
          </w:tcPr>
          <w:p w14:paraId="4B80F541" w14:textId="77777777" w:rsidR="00153A61" w:rsidRDefault="00402665">
            <w:pPr>
              <w:spacing w:after="0"/>
            </w:pPr>
            <w:r>
              <w:rPr>
                <w:rFonts w:ascii="Times New Roman" w:hAnsi="Times New Roman"/>
                <w:b/>
                <w:color w:val="1E293B"/>
                <w:sz w:val="17"/>
              </w:rPr>
              <w:t>Okhla Landfill</w:t>
            </w:r>
          </w:p>
        </w:tc>
        <w:tc>
          <w:tcPr>
            <w:tcW w:w="1440" w:type="dxa"/>
            <w:shd w:val="clear" w:color="auto" w:fill="FFFFFF"/>
            <w:tcMar>
              <w:top w:w="80" w:type="dxa"/>
              <w:left w:w="120" w:type="dxa"/>
              <w:bottom w:w="80" w:type="dxa"/>
              <w:right w:w="120" w:type="dxa"/>
            </w:tcMar>
          </w:tcPr>
          <w:p w14:paraId="2D4D9801" w14:textId="77777777" w:rsidR="00153A61" w:rsidRDefault="00402665">
            <w:pPr>
              <w:spacing w:after="0"/>
              <w:jc w:val="center"/>
            </w:pPr>
            <w:r>
              <w:rPr>
                <w:rFonts w:ascii="Times New Roman" w:hAnsi="Times New Roman"/>
                <w:color w:val="1E293B"/>
                <w:sz w:val="17"/>
              </w:rPr>
              <w:t>28.5113°N</w:t>
            </w:r>
          </w:p>
        </w:tc>
        <w:tc>
          <w:tcPr>
            <w:tcW w:w="1440" w:type="dxa"/>
            <w:shd w:val="clear" w:color="auto" w:fill="FFFFFF"/>
            <w:tcMar>
              <w:top w:w="80" w:type="dxa"/>
              <w:left w:w="120" w:type="dxa"/>
              <w:bottom w:w="80" w:type="dxa"/>
              <w:right w:w="120" w:type="dxa"/>
            </w:tcMar>
          </w:tcPr>
          <w:p w14:paraId="14CD2C97" w14:textId="77777777" w:rsidR="00153A61" w:rsidRDefault="00402665">
            <w:pPr>
              <w:spacing w:after="0"/>
              <w:jc w:val="center"/>
            </w:pPr>
            <w:r>
              <w:rPr>
                <w:rFonts w:ascii="Times New Roman" w:hAnsi="Times New Roman"/>
                <w:color w:val="1E293B"/>
                <w:sz w:val="17"/>
              </w:rPr>
              <w:t>77.2848°E</w:t>
            </w:r>
          </w:p>
        </w:tc>
        <w:tc>
          <w:tcPr>
            <w:tcW w:w="2160" w:type="dxa"/>
            <w:shd w:val="clear" w:color="auto" w:fill="FFFFFF"/>
            <w:tcMar>
              <w:top w:w="80" w:type="dxa"/>
              <w:left w:w="120" w:type="dxa"/>
              <w:bottom w:w="80" w:type="dxa"/>
              <w:right w:w="120" w:type="dxa"/>
            </w:tcMar>
          </w:tcPr>
          <w:p w14:paraId="1E34689C" w14:textId="77777777" w:rsidR="00153A61" w:rsidRDefault="00402665">
            <w:pPr>
              <w:spacing w:after="0"/>
              <w:jc w:val="center"/>
            </w:pPr>
            <w:r>
              <w:rPr>
                <w:rFonts w:ascii="Times New Roman" w:hAnsi="Times New Roman"/>
                <w:color w:val="1E293B"/>
                <w:sz w:val="17"/>
              </w:rPr>
              <w:t>Unlined Solid Waste Dump</w:t>
            </w:r>
          </w:p>
        </w:tc>
        <w:tc>
          <w:tcPr>
            <w:tcW w:w="1872" w:type="dxa"/>
            <w:shd w:val="clear" w:color="auto" w:fill="FFFFFF"/>
            <w:tcMar>
              <w:top w:w="80" w:type="dxa"/>
              <w:left w:w="120" w:type="dxa"/>
              <w:bottom w:w="80" w:type="dxa"/>
              <w:right w:w="120" w:type="dxa"/>
            </w:tcMar>
          </w:tcPr>
          <w:p w14:paraId="5B9DF4A6" w14:textId="77777777" w:rsidR="00153A61" w:rsidRDefault="00402665">
            <w:pPr>
              <w:spacing w:after="0"/>
              <w:jc w:val="center"/>
            </w:pPr>
            <w:r>
              <w:rPr>
                <w:rFonts w:ascii="Times New Roman" w:hAnsi="Times New Roman"/>
                <w:color w:val="1E293B"/>
                <w:sz w:val="17"/>
              </w:rPr>
              <w:t>Active Super-Emitter</w:t>
            </w:r>
          </w:p>
        </w:tc>
      </w:tr>
      <w:tr w:rsidR="00153A61" w14:paraId="1ED8D861" w14:textId="77777777">
        <w:trPr>
          <w:jc w:val="center"/>
        </w:trPr>
        <w:tc>
          <w:tcPr>
            <w:tcW w:w="3168" w:type="dxa"/>
            <w:shd w:val="clear" w:color="auto" w:fill="F8FAFC"/>
            <w:tcMar>
              <w:top w:w="80" w:type="dxa"/>
              <w:left w:w="120" w:type="dxa"/>
              <w:bottom w:w="80" w:type="dxa"/>
              <w:right w:w="120" w:type="dxa"/>
            </w:tcMar>
          </w:tcPr>
          <w:p w14:paraId="2A99B6F5" w14:textId="77777777" w:rsidR="00153A61" w:rsidRDefault="00402665">
            <w:pPr>
              <w:spacing w:after="0"/>
            </w:pPr>
            <w:r>
              <w:rPr>
                <w:rFonts w:ascii="Times New Roman" w:hAnsi="Times New Roman"/>
                <w:b/>
                <w:color w:val="1E293B"/>
                <w:sz w:val="17"/>
              </w:rPr>
              <w:t>Bandhwari Landfill</w:t>
            </w:r>
          </w:p>
        </w:tc>
        <w:tc>
          <w:tcPr>
            <w:tcW w:w="1440" w:type="dxa"/>
            <w:shd w:val="clear" w:color="auto" w:fill="F8FAFC"/>
            <w:tcMar>
              <w:top w:w="80" w:type="dxa"/>
              <w:left w:w="120" w:type="dxa"/>
              <w:bottom w:w="80" w:type="dxa"/>
              <w:right w:w="120" w:type="dxa"/>
            </w:tcMar>
          </w:tcPr>
          <w:p w14:paraId="660CAAA5" w14:textId="77777777" w:rsidR="00153A61" w:rsidRDefault="00402665">
            <w:pPr>
              <w:spacing w:after="0"/>
              <w:jc w:val="center"/>
            </w:pPr>
            <w:r>
              <w:rPr>
                <w:rFonts w:ascii="Times New Roman" w:hAnsi="Times New Roman"/>
                <w:color w:val="1E293B"/>
                <w:sz w:val="17"/>
              </w:rPr>
              <w:t>28.4024°N</w:t>
            </w:r>
          </w:p>
        </w:tc>
        <w:tc>
          <w:tcPr>
            <w:tcW w:w="1440" w:type="dxa"/>
            <w:shd w:val="clear" w:color="auto" w:fill="F8FAFC"/>
            <w:tcMar>
              <w:top w:w="80" w:type="dxa"/>
              <w:left w:w="120" w:type="dxa"/>
              <w:bottom w:w="80" w:type="dxa"/>
              <w:right w:w="120" w:type="dxa"/>
            </w:tcMar>
          </w:tcPr>
          <w:p w14:paraId="0EFB6D63" w14:textId="77777777" w:rsidR="00153A61" w:rsidRDefault="00402665">
            <w:pPr>
              <w:spacing w:after="0"/>
              <w:jc w:val="center"/>
            </w:pPr>
            <w:r>
              <w:rPr>
                <w:rFonts w:ascii="Times New Roman" w:hAnsi="Times New Roman"/>
                <w:color w:val="1E293B"/>
                <w:sz w:val="17"/>
              </w:rPr>
              <w:t>77.1644°E</w:t>
            </w:r>
          </w:p>
        </w:tc>
        <w:tc>
          <w:tcPr>
            <w:tcW w:w="2160" w:type="dxa"/>
            <w:shd w:val="clear" w:color="auto" w:fill="F8FAFC"/>
            <w:tcMar>
              <w:top w:w="80" w:type="dxa"/>
              <w:left w:w="120" w:type="dxa"/>
              <w:bottom w:w="80" w:type="dxa"/>
              <w:right w:w="120" w:type="dxa"/>
            </w:tcMar>
          </w:tcPr>
          <w:p w14:paraId="5EA02297" w14:textId="77777777" w:rsidR="00153A61" w:rsidRDefault="00402665">
            <w:pPr>
              <w:spacing w:after="0"/>
              <w:jc w:val="center"/>
            </w:pPr>
            <w:r>
              <w:rPr>
                <w:rFonts w:ascii="Times New Roman" w:hAnsi="Times New Roman"/>
                <w:color w:val="1E293B"/>
                <w:sz w:val="17"/>
              </w:rPr>
              <w:t>Municipal Solid Waste</w:t>
            </w:r>
          </w:p>
        </w:tc>
        <w:tc>
          <w:tcPr>
            <w:tcW w:w="1872" w:type="dxa"/>
            <w:shd w:val="clear" w:color="auto" w:fill="F8FAFC"/>
            <w:tcMar>
              <w:top w:w="80" w:type="dxa"/>
              <w:left w:w="120" w:type="dxa"/>
              <w:bottom w:w="80" w:type="dxa"/>
              <w:right w:w="120" w:type="dxa"/>
            </w:tcMar>
          </w:tcPr>
          <w:p w14:paraId="405BDA77" w14:textId="77777777" w:rsidR="00153A61" w:rsidRDefault="00402665">
            <w:pPr>
              <w:spacing w:after="0"/>
              <w:jc w:val="center"/>
            </w:pPr>
            <w:r>
              <w:rPr>
                <w:rFonts w:ascii="Times New Roman" w:hAnsi="Times New Roman"/>
                <w:color w:val="1E293B"/>
                <w:sz w:val="17"/>
              </w:rPr>
              <w:t>Moderate Emitter</w:t>
            </w:r>
          </w:p>
        </w:tc>
      </w:tr>
      <w:tr w:rsidR="00153A61" w14:paraId="58654B2E" w14:textId="77777777">
        <w:trPr>
          <w:jc w:val="center"/>
        </w:trPr>
        <w:tc>
          <w:tcPr>
            <w:tcW w:w="3168" w:type="dxa"/>
            <w:shd w:val="clear" w:color="auto" w:fill="FFFFFF"/>
            <w:tcMar>
              <w:top w:w="80" w:type="dxa"/>
              <w:left w:w="120" w:type="dxa"/>
              <w:bottom w:w="80" w:type="dxa"/>
              <w:right w:w="120" w:type="dxa"/>
            </w:tcMar>
          </w:tcPr>
          <w:p w14:paraId="7FF1D036" w14:textId="77777777" w:rsidR="00153A61" w:rsidRDefault="00402665">
            <w:pPr>
              <w:spacing w:after="0"/>
            </w:pPr>
            <w:r>
              <w:rPr>
                <w:rFonts w:ascii="Times New Roman" w:hAnsi="Times New Roman"/>
                <w:b/>
                <w:color w:val="1E293B"/>
                <w:sz w:val="17"/>
              </w:rPr>
              <w:t>DPCC Anand Vihar Monitoring Hub</w:t>
            </w:r>
          </w:p>
        </w:tc>
        <w:tc>
          <w:tcPr>
            <w:tcW w:w="1440" w:type="dxa"/>
            <w:shd w:val="clear" w:color="auto" w:fill="FFFFFF"/>
            <w:tcMar>
              <w:top w:w="80" w:type="dxa"/>
              <w:left w:w="120" w:type="dxa"/>
              <w:bottom w:w="80" w:type="dxa"/>
              <w:right w:w="120" w:type="dxa"/>
            </w:tcMar>
          </w:tcPr>
          <w:p w14:paraId="7ACD92B0" w14:textId="77777777" w:rsidR="00153A61" w:rsidRDefault="00402665">
            <w:pPr>
              <w:spacing w:after="0"/>
              <w:jc w:val="center"/>
            </w:pPr>
            <w:r>
              <w:rPr>
                <w:rFonts w:ascii="Times New Roman" w:hAnsi="Times New Roman"/>
                <w:color w:val="1E293B"/>
                <w:sz w:val="17"/>
              </w:rPr>
              <w:t>28.6469°N</w:t>
            </w:r>
          </w:p>
        </w:tc>
        <w:tc>
          <w:tcPr>
            <w:tcW w:w="1440" w:type="dxa"/>
            <w:shd w:val="clear" w:color="auto" w:fill="FFFFFF"/>
            <w:tcMar>
              <w:top w:w="80" w:type="dxa"/>
              <w:left w:w="120" w:type="dxa"/>
              <w:bottom w:w="80" w:type="dxa"/>
              <w:right w:w="120" w:type="dxa"/>
            </w:tcMar>
          </w:tcPr>
          <w:p w14:paraId="3B815982" w14:textId="77777777" w:rsidR="00153A61" w:rsidRDefault="00402665">
            <w:pPr>
              <w:spacing w:after="0"/>
              <w:jc w:val="center"/>
            </w:pPr>
            <w:r>
              <w:rPr>
                <w:rFonts w:ascii="Times New Roman" w:hAnsi="Times New Roman"/>
                <w:color w:val="1E293B"/>
                <w:sz w:val="17"/>
              </w:rPr>
              <w:t>77.3160°E</w:t>
            </w:r>
          </w:p>
        </w:tc>
        <w:tc>
          <w:tcPr>
            <w:tcW w:w="2160" w:type="dxa"/>
            <w:shd w:val="clear" w:color="auto" w:fill="FFFFFF"/>
            <w:tcMar>
              <w:top w:w="80" w:type="dxa"/>
              <w:left w:w="120" w:type="dxa"/>
              <w:bottom w:w="80" w:type="dxa"/>
              <w:right w:w="120" w:type="dxa"/>
            </w:tcMar>
          </w:tcPr>
          <w:p w14:paraId="6C539588" w14:textId="77777777" w:rsidR="00153A61" w:rsidRDefault="00402665">
            <w:pPr>
              <w:spacing w:after="0"/>
              <w:jc w:val="center"/>
            </w:pPr>
            <w:r>
              <w:rPr>
                <w:rFonts w:ascii="Times New Roman" w:hAnsi="Times New Roman"/>
                <w:color w:val="1E293B"/>
                <w:sz w:val="17"/>
              </w:rPr>
              <w:t>Continuous CAAQMS Hub</w:t>
            </w:r>
          </w:p>
        </w:tc>
        <w:tc>
          <w:tcPr>
            <w:tcW w:w="1872" w:type="dxa"/>
            <w:shd w:val="clear" w:color="auto" w:fill="FFFFFF"/>
            <w:tcMar>
              <w:top w:w="80" w:type="dxa"/>
              <w:left w:w="120" w:type="dxa"/>
              <w:bottom w:w="80" w:type="dxa"/>
              <w:right w:w="120" w:type="dxa"/>
            </w:tcMar>
          </w:tcPr>
          <w:p w14:paraId="5D9C8348" w14:textId="77777777" w:rsidR="00153A61" w:rsidRDefault="00402665">
            <w:pPr>
              <w:spacing w:after="0"/>
              <w:jc w:val="center"/>
            </w:pPr>
            <w:r>
              <w:rPr>
                <w:rFonts w:ascii="Times New Roman" w:hAnsi="Times New Roman"/>
                <w:color w:val="1E293B"/>
                <w:sz w:val="17"/>
              </w:rPr>
              <w:t>Receptor Hub</w:t>
            </w:r>
          </w:p>
        </w:tc>
      </w:tr>
    </w:tbl>
    <w:p w14:paraId="4101FE60" w14:textId="77777777" w:rsidR="00153A61" w:rsidRDefault="00402665">
      <w:pPr>
        <w:spacing w:after="100"/>
        <w:jc w:val="both"/>
      </w:pPr>
      <w:r>
        <w:rPr>
          <w:rFonts w:ascii="Times New Roman" w:hAnsi="Times New Roman"/>
          <w:color w:val="1E293B"/>
          <w:sz w:val="20"/>
        </w:rPr>
        <w:t>1) Spaceborne Methane Spectroscopy: 23 hyperspectral plume overpass files were ingested across Delhi landfills from NASA EMIT and ESA EnMAP. Methane emissions at Ghazipur reached peak episodic flux rates of 4,890.2 kg/hr.</w:t>
      </w:r>
      <w:r>
        <w:rPr>
          <w:rFonts w:ascii="Times New Roman" w:hAnsi="Times New Roman"/>
          <w:color w:val="1E293B"/>
          <w:sz w:val="20"/>
        </w:rPr>
        <w:br/>
      </w:r>
      <w:r>
        <w:rPr>
          <w:rFonts w:ascii="Times New Roman" w:hAnsi="Times New Roman"/>
          <w:color w:val="1E293B"/>
          <w:sz w:val="20"/>
        </w:rPr>
        <w:t>2) Ground-Level Air Quality and Meteorology: 70,176 records spanning 2024–2025 were acquired at 15-minute intervals from the DPCC Anand Vihar station, tracking 9 criteria pollutants and 7 micrometeorological parameters.</w:t>
      </w:r>
      <w:r>
        <w:rPr>
          <w:rFonts w:ascii="Times New Roman" w:hAnsi="Times New Roman"/>
          <w:color w:val="1E293B"/>
          <w:sz w:val="20"/>
        </w:rPr>
        <w:br/>
        <w:t xml:space="preserve">3) Data Sanitization and Imputation: Missing observations </w:t>
      </w:r>
      <w:r>
        <w:rPr>
          <w:rFonts w:ascii="Times New Roman" w:hAnsi="Times New Roman"/>
          <w:color w:val="1E293B"/>
          <w:sz w:val="20"/>
        </w:rPr>
        <w:t>were imputed via bounded bi-directional linear interpolation (k ≤ 16 steps):</w:t>
      </w:r>
    </w:p>
    <w:p w14:paraId="04887A7A" w14:textId="77777777" w:rsidR="00153A61" w:rsidRDefault="00402665">
      <w:pPr>
        <w:spacing w:before="80" w:after="120"/>
        <w:jc w:val="center"/>
      </w:pPr>
      <w:r>
        <w:rPr>
          <w:rFonts w:ascii="Cambria Math" w:hAnsi="Cambria Math"/>
          <w:i/>
          <w:sz w:val="20"/>
        </w:rPr>
        <w:t>x̂_t = x_t1 + [(t - t1)/(t2 - t1)] · (x_t2 - x_t1), ∀ t ∈ (t1, t2)</w:t>
      </w:r>
      <w:r>
        <w:rPr>
          <w:rFonts w:ascii="Times New Roman" w:hAnsi="Times New Roman"/>
          <w:sz w:val="20"/>
        </w:rPr>
        <w:tab/>
      </w:r>
      <w:r>
        <w:rPr>
          <w:rFonts w:ascii="Times New Roman" w:hAnsi="Times New Roman"/>
          <w:sz w:val="20"/>
        </w:rPr>
        <w:tab/>
      </w:r>
      <w:r>
        <w:rPr>
          <w:rFonts w:ascii="Times New Roman" w:hAnsi="Times New Roman"/>
          <w:sz w:val="20"/>
        </w:rPr>
        <w:tab/>
        <w:t>(3)</w:t>
      </w:r>
    </w:p>
    <w:p w14:paraId="02CF4662" w14:textId="77777777" w:rsidR="00153A61" w:rsidRDefault="00402665">
      <w:pPr>
        <w:keepNext/>
        <w:spacing w:before="200" w:after="60"/>
      </w:pPr>
      <w:r>
        <w:rPr>
          <w:rFonts w:ascii="Times New Roman" w:hAnsi="Times New Roman"/>
          <w:b/>
          <w:i/>
          <w:color w:val="1E293B"/>
          <w:sz w:val="20"/>
        </w:rPr>
        <w:t>B. Physics-Informed Feature Engineering</w:t>
      </w:r>
    </w:p>
    <w:p w14:paraId="64CBC995" w14:textId="77777777" w:rsidR="00153A61" w:rsidRDefault="00402665">
      <w:pPr>
        <w:spacing w:after="100"/>
        <w:jc w:val="both"/>
      </w:pPr>
      <w:r>
        <w:rPr>
          <w:rFonts w:ascii="Times New Roman" w:hAnsi="Times New Roman"/>
          <w:color w:val="1E293B"/>
          <w:sz w:val="20"/>
        </w:rPr>
        <w:t>1) Trigonometric Wind Velocity Vectors: We project wind speed (WS) and direction (WD) into orthogonal Cartesian velocity vectors (u, v):</w:t>
      </w:r>
    </w:p>
    <w:p w14:paraId="79014ADF" w14:textId="77777777" w:rsidR="00153A61" w:rsidRDefault="00402665">
      <w:pPr>
        <w:spacing w:before="80" w:after="120"/>
        <w:jc w:val="center"/>
      </w:pPr>
      <w:r>
        <w:rPr>
          <w:rFonts w:ascii="Cambria Math" w:hAnsi="Cambria Math"/>
          <w:i/>
          <w:sz w:val="20"/>
        </w:rPr>
        <w:t>u = -WS · sin(π · WD / 180),  v = -WS · cos(π · WD / 180)</w:t>
      </w:r>
      <w:r>
        <w:rPr>
          <w:rFonts w:ascii="Times New Roman" w:hAnsi="Times New Roman"/>
          <w:sz w:val="20"/>
        </w:rPr>
        <w:tab/>
      </w:r>
      <w:r>
        <w:rPr>
          <w:rFonts w:ascii="Times New Roman" w:hAnsi="Times New Roman"/>
          <w:sz w:val="20"/>
        </w:rPr>
        <w:tab/>
      </w:r>
      <w:r>
        <w:rPr>
          <w:rFonts w:ascii="Times New Roman" w:hAnsi="Times New Roman"/>
          <w:sz w:val="20"/>
        </w:rPr>
        <w:tab/>
        <w:t>(4)</w:t>
      </w:r>
    </w:p>
    <w:p w14:paraId="41A23384" w14:textId="77777777" w:rsidR="00153A61" w:rsidRDefault="00402665">
      <w:pPr>
        <w:spacing w:after="100"/>
        <w:jc w:val="both"/>
      </w:pPr>
      <w:r>
        <w:rPr>
          <w:rFonts w:ascii="Times New Roman" w:hAnsi="Times New Roman"/>
          <w:color w:val="1E293B"/>
          <w:sz w:val="20"/>
        </w:rPr>
        <w:t>2) Ghazipur Geometric Plume Alignment Index: With the source azimuth at θ_src ≈ 130.0°, the angular difference Δθ and half-wave rectified alignment index are formulated as:</w:t>
      </w:r>
    </w:p>
    <w:p w14:paraId="069F1504" w14:textId="77777777" w:rsidR="00153A61" w:rsidRDefault="00402665">
      <w:pPr>
        <w:spacing w:before="80" w:after="120"/>
        <w:jc w:val="center"/>
      </w:pPr>
      <w:r>
        <w:rPr>
          <w:rFonts w:ascii="Cambria Math" w:hAnsi="Cambria Math"/>
          <w:i/>
          <w:sz w:val="20"/>
        </w:rPr>
        <w:t>Δθ = min(|WD - 130.0°|, 360.0° - |WD - 130.0°|)</w:t>
      </w:r>
      <w:r>
        <w:rPr>
          <w:rFonts w:ascii="Times New Roman" w:hAnsi="Times New Roman"/>
          <w:sz w:val="20"/>
        </w:rPr>
        <w:tab/>
      </w:r>
      <w:r>
        <w:rPr>
          <w:rFonts w:ascii="Times New Roman" w:hAnsi="Times New Roman"/>
          <w:sz w:val="20"/>
        </w:rPr>
        <w:tab/>
      </w:r>
      <w:r>
        <w:rPr>
          <w:rFonts w:ascii="Times New Roman" w:hAnsi="Times New Roman"/>
          <w:sz w:val="20"/>
        </w:rPr>
        <w:tab/>
        <w:t>(5)</w:t>
      </w:r>
    </w:p>
    <w:p w14:paraId="1FF5E790" w14:textId="77777777" w:rsidR="00153A61" w:rsidRDefault="00402665">
      <w:pPr>
        <w:spacing w:before="80" w:after="120"/>
        <w:jc w:val="center"/>
      </w:pPr>
      <w:r>
        <w:rPr>
          <w:rFonts w:ascii="Cambria Math" w:hAnsi="Cambria Math"/>
          <w:i/>
          <w:sz w:val="20"/>
        </w:rPr>
        <w:t>Alignment Index = max(0, cos(π · Δθ / 180))</w:t>
      </w:r>
      <w:r>
        <w:rPr>
          <w:rFonts w:ascii="Times New Roman" w:hAnsi="Times New Roman"/>
          <w:sz w:val="20"/>
        </w:rPr>
        <w:tab/>
      </w:r>
      <w:r>
        <w:rPr>
          <w:rFonts w:ascii="Times New Roman" w:hAnsi="Times New Roman"/>
          <w:sz w:val="20"/>
        </w:rPr>
        <w:tab/>
      </w:r>
      <w:r>
        <w:rPr>
          <w:rFonts w:ascii="Times New Roman" w:hAnsi="Times New Roman"/>
          <w:sz w:val="20"/>
        </w:rPr>
        <w:tab/>
        <w:t>(6)</w:t>
      </w:r>
    </w:p>
    <w:p w14:paraId="37C14020" w14:textId="77777777" w:rsidR="00153A61" w:rsidRDefault="00402665">
      <w:pPr>
        <w:spacing w:after="100"/>
        <w:jc w:val="both"/>
      </w:pPr>
      <w:r>
        <w:rPr>
          <w:rFonts w:ascii="Times New Roman" w:hAnsi="Times New Roman"/>
          <w:color w:val="1E293B"/>
          <w:sz w:val="20"/>
        </w:rPr>
        <w:t>3) Atmospheric Stagnation Severity Index:</w:t>
      </w:r>
    </w:p>
    <w:p w14:paraId="0BC5EA0A" w14:textId="77777777" w:rsidR="00153A61" w:rsidRDefault="00402665">
      <w:pPr>
        <w:spacing w:before="80" w:after="120"/>
        <w:jc w:val="center"/>
      </w:pPr>
      <w:r>
        <w:rPr>
          <w:rFonts w:ascii="Cambria Math" w:hAnsi="Cambria Math"/>
          <w:i/>
          <w:sz w:val="20"/>
        </w:rPr>
        <w:t>Dispersion Index = Alignment Index · exp(-0.25 · WS)</w:t>
      </w:r>
      <w:r>
        <w:rPr>
          <w:rFonts w:ascii="Times New Roman" w:hAnsi="Times New Roman"/>
          <w:sz w:val="20"/>
        </w:rPr>
        <w:tab/>
      </w:r>
      <w:r>
        <w:rPr>
          <w:rFonts w:ascii="Times New Roman" w:hAnsi="Times New Roman"/>
          <w:sz w:val="20"/>
        </w:rPr>
        <w:tab/>
      </w:r>
      <w:r>
        <w:rPr>
          <w:rFonts w:ascii="Times New Roman" w:hAnsi="Times New Roman"/>
          <w:sz w:val="20"/>
        </w:rPr>
        <w:tab/>
        <w:t>(7)</w:t>
      </w:r>
    </w:p>
    <w:p w14:paraId="42B03003" w14:textId="77777777" w:rsidR="00153A61" w:rsidRDefault="00402665">
      <w:pPr>
        <w:spacing w:after="100"/>
        <w:jc w:val="both"/>
      </w:pPr>
      <w:r>
        <w:rPr>
          <w:rFonts w:ascii="Times New Roman" w:hAnsi="Times New Roman"/>
          <w:color w:val="1E293B"/>
          <w:sz w:val="20"/>
        </w:rPr>
        <w:t>4) Planetary Boundary Layer Ventilation Proxy:</w:t>
      </w:r>
    </w:p>
    <w:p w14:paraId="7C2ECDA2" w14:textId="77777777" w:rsidR="00153A61" w:rsidRDefault="00402665">
      <w:pPr>
        <w:spacing w:before="80" w:after="120"/>
        <w:jc w:val="center"/>
      </w:pPr>
      <w:r>
        <w:rPr>
          <w:rFonts w:ascii="Cambria Math" w:hAnsi="Cambria Math"/>
          <w:i/>
          <w:sz w:val="20"/>
        </w:rPr>
        <w:t>Ventilation Index Proxy = [WS · (T_ambient + 273.15)] / (P_barometric + ε)</w:t>
      </w:r>
      <w:r>
        <w:rPr>
          <w:rFonts w:ascii="Times New Roman" w:hAnsi="Times New Roman"/>
          <w:sz w:val="20"/>
        </w:rPr>
        <w:tab/>
      </w:r>
      <w:r>
        <w:rPr>
          <w:rFonts w:ascii="Times New Roman" w:hAnsi="Times New Roman"/>
          <w:sz w:val="20"/>
        </w:rPr>
        <w:tab/>
      </w:r>
      <w:r>
        <w:rPr>
          <w:rFonts w:ascii="Times New Roman" w:hAnsi="Times New Roman"/>
          <w:sz w:val="20"/>
        </w:rPr>
        <w:tab/>
        <w:t>(8)</w:t>
      </w:r>
    </w:p>
    <w:p w14:paraId="2A93CB4B" w14:textId="77777777" w:rsidR="00153A61" w:rsidRDefault="00402665">
      <w:pPr>
        <w:spacing w:after="100"/>
        <w:jc w:val="both"/>
      </w:pPr>
      <w:r>
        <w:rPr>
          <w:rFonts w:ascii="Times New Roman" w:hAnsi="Times New Roman"/>
          <w:color w:val="1E293B"/>
          <w:sz w:val="20"/>
        </w:rPr>
        <w:t>5) Autoregressive Lags and Rolling Windows: Lag steps k ∈ {1, 2, 4, 12, 24} (representing 15m, 30m, 1h, 3h, 6h) and backward-looking rolling statistics (mean 3h/6h, std 3h) provide temporal momentum.</w:t>
      </w:r>
      <w:r>
        <w:rPr>
          <w:rFonts w:ascii="Times New Roman" w:hAnsi="Times New Roman"/>
          <w:color w:val="1E293B"/>
          <w:sz w:val="20"/>
        </w:rPr>
        <w:br/>
      </w:r>
      <w:r>
        <w:rPr>
          <w:rFonts w:ascii="Times New Roman" w:hAnsi="Times New Roman"/>
          <w:color w:val="1E293B"/>
          <w:sz w:val="20"/>
        </w:rPr>
        <w:t>6) Cyclic Temporal Encodings: Diurnal and seasonal periodicities are mapped using continuous sin/cos transformations.</w:t>
      </w:r>
    </w:p>
    <w:p w14:paraId="02EAD770" w14:textId="77777777" w:rsidR="00153A61" w:rsidRDefault="00402665">
      <w:pPr>
        <w:keepNext/>
        <w:spacing w:before="200" w:after="60"/>
      </w:pPr>
      <w:r>
        <w:rPr>
          <w:rFonts w:ascii="Times New Roman" w:hAnsi="Times New Roman"/>
          <w:b/>
          <w:i/>
          <w:color w:val="1E293B"/>
          <w:sz w:val="20"/>
        </w:rPr>
        <w:t>C. Supervised Learning Formulation</w:t>
      </w:r>
    </w:p>
    <w:p w14:paraId="06579957" w14:textId="77777777" w:rsidR="00153A61" w:rsidRDefault="00402665">
      <w:pPr>
        <w:spacing w:after="100"/>
        <w:jc w:val="both"/>
      </w:pPr>
      <w:r>
        <w:rPr>
          <w:rFonts w:ascii="Times New Roman" w:hAnsi="Times New Roman"/>
          <w:color w:val="1E293B"/>
          <w:sz w:val="20"/>
        </w:rPr>
        <w:t>We formulate two supervised learning tasks under a strict chronological 80/20 train/test partition (56,140 train, 14,036 test samples):</w:t>
      </w:r>
      <w:r>
        <w:rPr>
          <w:rFonts w:ascii="Times New Roman" w:hAnsi="Times New Roman"/>
          <w:color w:val="1E293B"/>
          <w:sz w:val="20"/>
        </w:rPr>
        <w:br/>
        <w:t>• Task A (Regression): Continuous 1-hour ahead concentration forecasting across all 9 monitored pollutants.</w:t>
      </w:r>
      <w:r>
        <w:rPr>
          <w:rFonts w:ascii="Times New Roman" w:hAnsi="Times New Roman"/>
          <w:color w:val="1E293B"/>
          <w:sz w:val="20"/>
        </w:rPr>
        <w:br/>
      </w:r>
      <w:r>
        <w:rPr>
          <w:rFonts w:ascii="Times New Roman" w:hAnsi="Times New Roman"/>
          <w:color w:val="1E293B"/>
          <w:sz w:val="20"/>
        </w:rPr>
        <w:t>• Task B (Classification): Binary acute toxic episode risk detection defined as NH3 or CO exceeding the 85th percentile threshold.</w:t>
      </w:r>
    </w:p>
    <w:p w14:paraId="69A2542E" w14:textId="77777777" w:rsidR="00153A61" w:rsidRDefault="00402665">
      <w:pPr>
        <w:keepNext/>
        <w:spacing w:before="200" w:after="60"/>
      </w:pPr>
      <w:r>
        <w:rPr>
          <w:rFonts w:ascii="Times New Roman" w:hAnsi="Times New Roman"/>
          <w:b/>
          <w:i/>
          <w:color w:val="1E293B"/>
          <w:sz w:val="20"/>
        </w:rPr>
        <w:lastRenderedPageBreak/>
        <w:t>D. Explainable AI: Game-Theoretic TreeSHAP Formulation</w:t>
      </w:r>
    </w:p>
    <w:p w14:paraId="138454AD" w14:textId="77777777" w:rsidR="00153A61" w:rsidRDefault="00402665">
      <w:pPr>
        <w:spacing w:after="100"/>
        <w:jc w:val="both"/>
      </w:pPr>
      <w:r>
        <w:rPr>
          <w:rFonts w:ascii="Times New Roman" w:hAnsi="Times New Roman"/>
          <w:color w:val="1E293B"/>
          <w:sz w:val="20"/>
        </w:rPr>
        <w:t>Feature attributions are derived using Shapley values satisfying local efficiency:</w:t>
      </w:r>
    </w:p>
    <w:p w14:paraId="56B13196" w14:textId="77777777" w:rsidR="00153A61" w:rsidRDefault="00402665">
      <w:pPr>
        <w:spacing w:before="80" w:after="120"/>
        <w:jc w:val="center"/>
      </w:pPr>
      <w:r>
        <w:rPr>
          <w:rFonts w:ascii="Cambria Math" w:hAnsi="Cambria Math"/>
          <w:i/>
          <w:sz w:val="20"/>
        </w:rPr>
        <w:t>φ_i(f, x) = ∑ [|S|!(|F| - |S| - 1)! / |F|!] · [f_x(S ∪ {i}) - f_x(S)]</w:t>
      </w:r>
      <w:r>
        <w:rPr>
          <w:rFonts w:ascii="Times New Roman" w:hAnsi="Times New Roman"/>
          <w:sz w:val="20"/>
        </w:rPr>
        <w:tab/>
      </w:r>
      <w:r>
        <w:rPr>
          <w:rFonts w:ascii="Times New Roman" w:hAnsi="Times New Roman"/>
          <w:sz w:val="20"/>
        </w:rPr>
        <w:tab/>
      </w:r>
      <w:r>
        <w:rPr>
          <w:rFonts w:ascii="Times New Roman" w:hAnsi="Times New Roman"/>
          <w:sz w:val="20"/>
        </w:rPr>
        <w:tab/>
        <w:t>(9)</w:t>
      </w:r>
    </w:p>
    <w:p w14:paraId="66C81EEE" w14:textId="77777777" w:rsidR="00153A61" w:rsidRDefault="00402665">
      <w:pPr>
        <w:spacing w:before="80" w:after="120"/>
        <w:jc w:val="center"/>
      </w:pPr>
      <w:r>
        <w:rPr>
          <w:rFonts w:ascii="Cambria Math" w:hAnsi="Cambria Math"/>
          <w:i/>
          <w:sz w:val="20"/>
        </w:rPr>
        <w:t>f(x) = φ_0(f) + ∑ φ_i(f, x)</w:t>
      </w:r>
      <w:r>
        <w:rPr>
          <w:rFonts w:ascii="Times New Roman" w:hAnsi="Times New Roman"/>
          <w:sz w:val="20"/>
        </w:rPr>
        <w:tab/>
      </w:r>
      <w:r>
        <w:rPr>
          <w:rFonts w:ascii="Times New Roman" w:hAnsi="Times New Roman"/>
          <w:sz w:val="20"/>
        </w:rPr>
        <w:tab/>
      </w:r>
      <w:r>
        <w:rPr>
          <w:rFonts w:ascii="Times New Roman" w:hAnsi="Times New Roman"/>
          <w:sz w:val="20"/>
        </w:rPr>
        <w:tab/>
        <w:t>(10)</w:t>
      </w:r>
    </w:p>
    <w:p w14:paraId="26578FB1" w14:textId="77777777" w:rsidR="00153A61" w:rsidRDefault="00402665">
      <w:pPr>
        <w:keepNext/>
        <w:spacing w:before="280" w:after="80"/>
      </w:pPr>
      <w:r>
        <w:rPr>
          <w:rFonts w:ascii="Times New Roman" w:hAnsi="Times New Roman"/>
          <w:b/>
          <w:color w:val="0F172A"/>
          <w:sz w:val="21"/>
        </w:rPr>
        <w:t>IV. RESULT AND DEPLOYMENT</w:t>
      </w:r>
    </w:p>
    <w:p w14:paraId="08303D1D" w14:textId="77777777" w:rsidR="00153A61" w:rsidRDefault="00402665">
      <w:pPr>
        <w:keepNext/>
        <w:spacing w:before="200" w:after="60"/>
      </w:pPr>
      <w:r>
        <w:rPr>
          <w:rFonts w:ascii="Times New Roman" w:hAnsi="Times New Roman"/>
          <w:b/>
          <w:i/>
          <w:color w:val="1E293B"/>
          <w:sz w:val="20"/>
        </w:rPr>
        <w:t>A. Empirical Atmospheric Dynamics &amp; Downwind Plume Attribution</w:t>
      </w:r>
    </w:p>
    <w:p w14:paraId="3DA543C6" w14:textId="77777777" w:rsidR="00153A61" w:rsidRDefault="00402665">
      <w:pPr>
        <w:spacing w:after="100"/>
        <w:jc w:val="both"/>
      </w:pPr>
      <w:r>
        <w:rPr>
          <w:rFonts w:ascii="Times New Roman" w:hAnsi="Times New Roman"/>
          <w:color w:val="1E293B"/>
          <w:sz w:val="20"/>
        </w:rPr>
        <w:t>Stratifying ground sensor records by prevailing wind direction provides conclusive empirical verification of point-source emissions from Ghazipur.</w:t>
      </w:r>
    </w:p>
    <w:p w14:paraId="0825CC4A" w14:textId="77777777" w:rsidR="00153A61" w:rsidRDefault="00402665">
      <w:pPr>
        <w:spacing w:before="160" w:after="40"/>
        <w:jc w:val="center"/>
      </w:pPr>
      <w:r>
        <w:rPr>
          <w:rFonts w:ascii="Times New Roman" w:hAnsi="Times New Roman"/>
          <w:b/>
          <w:sz w:val="17"/>
        </w:rPr>
        <w:t>TABLE II. EMPIRICAL GROUND CONCENTRATION IMPACT ACROSS PREVAILING WIND SECTORS</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318"/>
        <w:gridCol w:w="870"/>
        <w:gridCol w:w="913"/>
        <w:gridCol w:w="882"/>
        <w:gridCol w:w="937"/>
      </w:tblGrid>
      <w:tr w:rsidR="00153A61" w14:paraId="236C6560" w14:textId="77777777">
        <w:trPr>
          <w:tblHeader/>
          <w:jc w:val="center"/>
        </w:trPr>
        <w:tc>
          <w:tcPr>
            <w:tcW w:w="3600" w:type="dxa"/>
            <w:shd w:val="clear" w:color="auto" w:fill="0F172A"/>
            <w:tcMar>
              <w:top w:w="120" w:type="dxa"/>
              <w:left w:w="120" w:type="dxa"/>
              <w:bottom w:w="120" w:type="dxa"/>
              <w:right w:w="120" w:type="dxa"/>
            </w:tcMar>
          </w:tcPr>
          <w:p w14:paraId="2D1ADFB1" w14:textId="77777777" w:rsidR="00153A61" w:rsidRDefault="00402665">
            <w:pPr>
              <w:spacing w:after="0"/>
            </w:pPr>
            <w:r>
              <w:rPr>
                <w:rFonts w:ascii="Times New Roman" w:hAnsi="Times New Roman"/>
                <w:b/>
                <w:color w:val="FFFFFF"/>
                <w:sz w:val="18"/>
              </w:rPr>
              <w:t>Directional Sector &amp; Vector</w:t>
            </w:r>
          </w:p>
        </w:tc>
        <w:tc>
          <w:tcPr>
            <w:tcW w:w="1584" w:type="dxa"/>
            <w:shd w:val="clear" w:color="auto" w:fill="0F172A"/>
            <w:tcMar>
              <w:top w:w="120" w:type="dxa"/>
              <w:left w:w="120" w:type="dxa"/>
              <w:bottom w:w="120" w:type="dxa"/>
              <w:right w:w="120" w:type="dxa"/>
            </w:tcMar>
          </w:tcPr>
          <w:p w14:paraId="7B04549A" w14:textId="77777777" w:rsidR="00153A61" w:rsidRDefault="00402665">
            <w:pPr>
              <w:spacing w:after="0"/>
              <w:jc w:val="center"/>
            </w:pPr>
            <w:r>
              <w:rPr>
                <w:rFonts w:ascii="Times New Roman" w:hAnsi="Times New Roman"/>
                <w:b/>
                <w:color w:val="FFFFFF"/>
                <w:sz w:val="18"/>
              </w:rPr>
              <w:t>NH3 (µg/m³)</w:t>
            </w:r>
          </w:p>
        </w:tc>
        <w:tc>
          <w:tcPr>
            <w:tcW w:w="1584" w:type="dxa"/>
            <w:shd w:val="clear" w:color="auto" w:fill="0F172A"/>
            <w:tcMar>
              <w:top w:w="120" w:type="dxa"/>
              <w:left w:w="120" w:type="dxa"/>
              <w:bottom w:w="120" w:type="dxa"/>
              <w:right w:w="120" w:type="dxa"/>
            </w:tcMar>
          </w:tcPr>
          <w:p w14:paraId="702E86D6" w14:textId="77777777" w:rsidR="00153A61" w:rsidRDefault="00402665">
            <w:pPr>
              <w:spacing w:after="0"/>
              <w:jc w:val="center"/>
            </w:pPr>
            <w:r>
              <w:rPr>
                <w:rFonts w:ascii="Times New Roman" w:hAnsi="Times New Roman"/>
                <w:b/>
                <w:color w:val="FFFFFF"/>
                <w:sz w:val="18"/>
              </w:rPr>
              <w:t>CO (mg/m³)</w:t>
            </w:r>
          </w:p>
        </w:tc>
        <w:tc>
          <w:tcPr>
            <w:tcW w:w="1728" w:type="dxa"/>
            <w:shd w:val="clear" w:color="auto" w:fill="0F172A"/>
            <w:tcMar>
              <w:top w:w="120" w:type="dxa"/>
              <w:left w:w="120" w:type="dxa"/>
              <w:bottom w:w="120" w:type="dxa"/>
              <w:right w:w="120" w:type="dxa"/>
            </w:tcMar>
          </w:tcPr>
          <w:p w14:paraId="43F7B95A" w14:textId="77777777" w:rsidR="00153A61" w:rsidRDefault="00402665">
            <w:pPr>
              <w:spacing w:after="0"/>
              <w:jc w:val="center"/>
            </w:pPr>
            <w:r>
              <w:rPr>
                <w:rFonts w:ascii="Times New Roman" w:hAnsi="Times New Roman"/>
                <w:b/>
                <w:color w:val="FFFFFF"/>
                <w:sz w:val="18"/>
              </w:rPr>
              <w:t>PM2.5 (µg/m³)</w:t>
            </w:r>
          </w:p>
        </w:tc>
        <w:tc>
          <w:tcPr>
            <w:tcW w:w="1584" w:type="dxa"/>
            <w:shd w:val="clear" w:color="auto" w:fill="0F172A"/>
            <w:tcMar>
              <w:top w:w="120" w:type="dxa"/>
              <w:left w:w="120" w:type="dxa"/>
              <w:bottom w:w="120" w:type="dxa"/>
              <w:right w:w="120" w:type="dxa"/>
            </w:tcMar>
          </w:tcPr>
          <w:p w14:paraId="118E840B" w14:textId="77777777" w:rsidR="00153A61" w:rsidRDefault="00402665">
            <w:pPr>
              <w:spacing w:after="0"/>
              <w:jc w:val="center"/>
            </w:pPr>
            <w:r>
              <w:rPr>
                <w:rFonts w:ascii="Times New Roman" w:hAnsi="Times New Roman"/>
                <w:b/>
                <w:color w:val="FFFFFF"/>
                <w:sz w:val="18"/>
              </w:rPr>
              <w:t>Benzene (µg/m³)</w:t>
            </w:r>
          </w:p>
        </w:tc>
      </w:tr>
      <w:tr w:rsidR="00153A61" w14:paraId="2B115A56" w14:textId="77777777">
        <w:trPr>
          <w:jc w:val="center"/>
        </w:trPr>
        <w:tc>
          <w:tcPr>
            <w:tcW w:w="3600" w:type="dxa"/>
            <w:shd w:val="clear" w:color="auto" w:fill="FFFFFF"/>
            <w:tcMar>
              <w:top w:w="80" w:type="dxa"/>
              <w:left w:w="120" w:type="dxa"/>
              <w:bottom w:w="80" w:type="dxa"/>
              <w:right w:w="120" w:type="dxa"/>
            </w:tcMar>
          </w:tcPr>
          <w:p w14:paraId="1079E361" w14:textId="77777777" w:rsidR="00153A61" w:rsidRDefault="00402665">
            <w:pPr>
              <w:spacing w:after="0"/>
            </w:pPr>
            <w:r>
              <w:rPr>
                <w:rFonts w:ascii="Times New Roman" w:hAnsi="Times New Roman"/>
                <w:b/>
                <w:color w:val="1E293B"/>
                <w:sz w:val="17"/>
              </w:rPr>
              <w:t>Ghazipur Downwind (100°–160° SE)</w:t>
            </w:r>
          </w:p>
        </w:tc>
        <w:tc>
          <w:tcPr>
            <w:tcW w:w="1584" w:type="dxa"/>
            <w:shd w:val="clear" w:color="auto" w:fill="FFFFFF"/>
            <w:tcMar>
              <w:top w:w="80" w:type="dxa"/>
              <w:left w:w="120" w:type="dxa"/>
              <w:bottom w:w="80" w:type="dxa"/>
              <w:right w:w="120" w:type="dxa"/>
            </w:tcMar>
          </w:tcPr>
          <w:p w14:paraId="2F14A900" w14:textId="77777777" w:rsidR="00153A61" w:rsidRDefault="00402665">
            <w:pPr>
              <w:spacing w:after="0"/>
              <w:jc w:val="center"/>
            </w:pPr>
            <w:r>
              <w:rPr>
                <w:rFonts w:ascii="Times New Roman" w:hAnsi="Times New Roman"/>
                <w:color w:val="1E293B"/>
                <w:sz w:val="17"/>
              </w:rPr>
              <w:t>68.4 ± 31.2</w:t>
            </w:r>
          </w:p>
        </w:tc>
        <w:tc>
          <w:tcPr>
            <w:tcW w:w="1584" w:type="dxa"/>
            <w:shd w:val="clear" w:color="auto" w:fill="FFFFFF"/>
            <w:tcMar>
              <w:top w:w="80" w:type="dxa"/>
              <w:left w:w="120" w:type="dxa"/>
              <w:bottom w:w="80" w:type="dxa"/>
              <w:right w:w="120" w:type="dxa"/>
            </w:tcMar>
          </w:tcPr>
          <w:p w14:paraId="46A437A5" w14:textId="77777777" w:rsidR="00153A61" w:rsidRDefault="00402665">
            <w:pPr>
              <w:spacing w:after="0"/>
              <w:jc w:val="center"/>
            </w:pPr>
            <w:r>
              <w:rPr>
                <w:rFonts w:ascii="Times New Roman" w:hAnsi="Times New Roman"/>
                <w:color w:val="1E293B"/>
                <w:sz w:val="17"/>
              </w:rPr>
              <w:t>2.18 ± 1.12</w:t>
            </w:r>
          </w:p>
        </w:tc>
        <w:tc>
          <w:tcPr>
            <w:tcW w:w="1728" w:type="dxa"/>
            <w:shd w:val="clear" w:color="auto" w:fill="FFFFFF"/>
            <w:tcMar>
              <w:top w:w="80" w:type="dxa"/>
              <w:left w:w="120" w:type="dxa"/>
              <w:bottom w:w="80" w:type="dxa"/>
              <w:right w:w="120" w:type="dxa"/>
            </w:tcMar>
          </w:tcPr>
          <w:p w14:paraId="24F79C32" w14:textId="77777777" w:rsidR="00153A61" w:rsidRDefault="00402665">
            <w:pPr>
              <w:spacing w:after="0"/>
              <w:jc w:val="center"/>
            </w:pPr>
            <w:r>
              <w:rPr>
                <w:rFonts w:ascii="Times New Roman" w:hAnsi="Times New Roman"/>
                <w:color w:val="1E293B"/>
                <w:sz w:val="17"/>
              </w:rPr>
              <w:t>228.7 ± 84.1</w:t>
            </w:r>
          </w:p>
        </w:tc>
        <w:tc>
          <w:tcPr>
            <w:tcW w:w="1584" w:type="dxa"/>
            <w:shd w:val="clear" w:color="auto" w:fill="FFFFFF"/>
            <w:tcMar>
              <w:top w:w="80" w:type="dxa"/>
              <w:left w:w="120" w:type="dxa"/>
              <w:bottom w:w="80" w:type="dxa"/>
              <w:right w:w="120" w:type="dxa"/>
            </w:tcMar>
          </w:tcPr>
          <w:p w14:paraId="4A2FE92E" w14:textId="77777777" w:rsidR="00153A61" w:rsidRDefault="00402665">
            <w:pPr>
              <w:spacing w:after="0"/>
              <w:jc w:val="center"/>
            </w:pPr>
            <w:r>
              <w:rPr>
                <w:rFonts w:ascii="Times New Roman" w:hAnsi="Times New Roman"/>
                <w:color w:val="1E293B"/>
                <w:sz w:val="17"/>
              </w:rPr>
              <w:t>5.8 ± 2.4</w:t>
            </w:r>
          </w:p>
        </w:tc>
      </w:tr>
      <w:tr w:rsidR="00153A61" w14:paraId="72B0FE04" w14:textId="77777777">
        <w:trPr>
          <w:jc w:val="center"/>
        </w:trPr>
        <w:tc>
          <w:tcPr>
            <w:tcW w:w="3600" w:type="dxa"/>
            <w:shd w:val="clear" w:color="auto" w:fill="F8FAFC"/>
            <w:tcMar>
              <w:top w:w="80" w:type="dxa"/>
              <w:left w:w="120" w:type="dxa"/>
              <w:bottom w:w="80" w:type="dxa"/>
              <w:right w:w="120" w:type="dxa"/>
            </w:tcMar>
          </w:tcPr>
          <w:p w14:paraId="53C359CD" w14:textId="77777777" w:rsidR="00153A61" w:rsidRDefault="00402665">
            <w:pPr>
              <w:spacing w:after="0"/>
            </w:pPr>
            <w:r>
              <w:rPr>
                <w:rFonts w:ascii="Times New Roman" w:hAnsi="Times New Roman"/>
                <w:b/>
                <w:color w:val="1E293B"/>
                <w:sz w:val="17"/>
              </w:rPr>
              <w:t>Crosswind Sector (0°–90° NE)</w:t>
            </w:r>
          </w:p>
        </w:tc>
        <w:tc>
          <w:tcPr>
            <w:tcW w:w="1584" w:type="dxa"/>
            <w:shd w:val="clear" w:color="auto" w:fill="F8FAFC"/>
            <w:tcMar>
              <w:top w:w="80" w:type="dxa"/>
              <w:left w:w="120" w:type="dxa"/>
              <w:bottom w:w="80" w:type="dxa"/>
              <w:right w:w="120" w:type="dxa"/>
            </w:tcMar>
          </w:tcPr>
          <w:p w14:paraId="0858EF08" w14:textId="77777777" w:rsidR="00153A61" w:rsidRDefault="00402665">
            <w:pPr>
              <w:spacing w:after="0"/>
              <w:jc w:val="center"/>
            </w:pPr>
            <w:r>
              <w:rPr>
                <w:rFonts w:ascii="Times New Roman" w:hAnsi="Times New Roman"/>
                <w:color w:val="1E293B"/>
                <w:sz w:val="17"/>
              </w:rPr>
              <w:t>42.8 ± 18.5</w:t>
            </w:r>
          </w:p>
        </w:tc>
        <w:tc>
          <w:tcPr>
            <w:tcW w:w="1584" w:type="dxa"/>
            <w:shd w:val="clear" w:color="auto" w:fill="F8FAFC"/>
            <w:tcMar>
              <w:top w:w="80" w:type="dxa"/>
              <w:left w:w="120" w:type="dxa"/>
              <w:bottom w:w="80" w:type="dxa"/>
              <w:right w:w="120" w:type="dxa"/>
            </w:tcMar>
          </w:tcPr>
          <w:p w14:paraId="56D6CC6A" w14:textId="77777777" w:rsidR="00153A61" w:rsidRDefault="00402665">
            <w:pPr>
              <w:spacing w:after="0"/>
              <w:jc w:val="center"/>
            </w:pPr>
            <w:r>
              <w:rPr>
                <w:rFonts w:ascii="Times New Roman" w:hAnsi="Times New Roman"/>
                <w:color w:val="1E293B"/>
                <w:sz w:val="17"/>
              </w:rPr>
              <w:t>1.41 ± 0.65</w:t>
            </w:r>
          </w:p>
        </w:tc>
        <w:tc>
          <w:tcPr>
            <w:tcW w:w="1728" w:type="dxa"/>
            <w:shd w:val="clear" w:color="auto" w:fill="F8FAFC"/>
            <w:tcMar>
              <w:top w:w="80" w:type="dxa"/>
              <w:left w:w="120" w:type="dxa"/>
              <w:bottom w:w="80" w:type="dxa"/>
              <w:right w:w="120" w:type="dxa"/>
            </w:tcMar>
          </w:tcPr>
          <w:p w14:paraId="096CD56E" w14:textId="77777777" w:rsidR="00153A61" w:rsidRDefault="00402665">
            <w:pPr>
              <w:spacing w:after="0"/>
              <w:jc w:val="center"/>
            </w:pPr>
            <w:r>
              <w:rPr>
                <w:rFonts w:ascii="Times New Roman" w:hAnsi="Times New Roman"/>
                <w:color w:val="1E293B"/>
                <w:sz w:val="17"/>
              </w:rPr>
              <w:t>171.4 ± 59.3</w:t>
            </w:r>
          </w:p>
        </w:tc>
        <w:tc>
          <w:tcPr>
            <w:tcW w:w="1584" w:type="dxa"/>
            <w:shd w:val="clear" w:color="auto" w:fill="F8FAFC"/>
            <w:tcMar>
              <w:top w:w="80" w:type="dxa"/>
              <w:left w:w="120" w:type="dxa"/>
              <w:bottom w:w="80" w:type="dxa"/>
              <w:right w:w="120" w:type="dxa"/>
            </w:tcMar>
          </w:tcPr>
          <w:p w14:paraId="2F44850D" w14:textId="77777777" w:rsidR="00153A61" w:rsidRDefault="00402665">
            <w:pPr>
              <w:spacing w:after="0"/>
              <w:jc w:val="center"/>
            </w:pPr>
            <w:r>
              <w:rPr>
                <w:rFonts w:ascii="Times New Roman" w:hAnsi="Times New Roman"/>
                <w:color w:val="1E293B"/>
                <w:sz w:val="17"/>
              </w:rPr>
              <w:t>3.9 ± 1.5</w:t>
            </w:r>
          </w:p>
        </w:tc>
      </w:tr>
      <w:tr w:rsidR="00153A61" w14:paraId="0074C1A8" w14:textId="77777777">
        <w:trPr>
          <w:jc w:val="center"/>
        </w:trPr>
        <w:tc>
          <w:tcPr>
            <w:tcW w:w="3600" w:type="dxa"/>
            <w:shd w:val="clear" w:color="auto" w:fill="FFFFFF"/>
            <w:tcMar>
              <w:top w:w="80" w:type="dxa"/>
              <w:left w:w="120" w:type="dxa"/>
              <w:bottom w:w="80" w:type="dxa"/>
              <w:right w:w="120" w:type="dxa"/>
            </w:tcMar>
          </w:tcPr>
          <w:p w14:paraId="0B0DC56F" w14:textId="77777777" w:rsidR="00153A61" w:rsidRDefault="00402665">
            <w:pPr>
              <w:spacing w:after="0"/>
            </w:pPr>
            <w:r>
              <w:rPr>
                <w:rFonts w:ascii="Times New Roman" w:hAnsi="Times New Roman"/>
                <w:b/>
                <w:color w:val="1E293B"/>
                <w:sz w:val="17"/>
              </w:rPr>
              <w:t>Clean Upwind Baseline (270°–330° NW)</w:t>
            </w:r>
          </w:p>
        </w:tc>
        <w:tc>
          <w:tcPr>
            <w:tcW w:w="1584" w:type="dxa"/>
            <w:shd w:val="clear" w:color="auto" w:fill="FFFFFF"/>
            <w:tcMar>
              <w:top w:w="80" w:type="dxa"/>
              <w:left w:w="120" w:type="dxa"/>
              <w:bottom w:w="80" w:type="dxa"/>
              <w:right w:w="120" w:type="dxa"/>
            </w:tcMar>
          </w:tcPr>
          <w:p w14:paraId="2A5BEF0B" w14:textId="77777777" w:rsidR="00153A61" w:rsidRDefault="00402665">
            <w:pPr>
              <w:spacing w:after="0"/>
              <w:jc w:val="center"/>
            </w:pPr>
            <w:r>
              <w:rPr>
                <w:rFonts w:ascii="Times New Roman" w:hAnsi="Times New Roman"/>
                <w:color w:val="1E293B"/>
                <w:sz w:val="17"/>
              </w:rPr>
              <w:t>39.2 ± 14.1</w:t>
            </w:r>
          </w:p>
        </w:tc>
        <w:tc>
          <w:tcPr>
            <w:tcW w:w="1584" w:type="dxa"/>
            <w:shd w:val="clear" w:color="auto" w:fill="FFFFFF"/>
            <w:tcMar>
              <w:top w:w="80" w:type="dxa"/>
              <w:left w:w="120" w:type="dxa"/>
              <w:bottom w:w="80" w:type="dxa"/>
              <w:right w:w="120" w:type="dxa"/>
            </w:tcMar>
          </w:tcPr>
          <w:p w14:paraId="23EE49EC" w14:textId="77777777" w:rsidR="00153A61" w:rsidRDefault="00402665">
            <w:pPr>
              <w:spacing w:after="0"/>
              <w:jc w:val="center"/>
            </w:pPr>
            <w:r>
              <w:rPr>
                <w:rFonts w:ascii="Times New Roman" w:hAnsi="Times New Roman"/>
                <w:color w:val="1E293B"/>
                <w:sz w:val="17"/>
              </w:rPr>
              <w:t>1.25 ± 0.52</w:t>
            </w:r>
          </w:p>
        </w:tc>
        <w:tc>
          <w:tcPr>
            <w:tcW w:w="1728" w:type="dxa"/>
            <w:shd w:val="clear" w:color="auto" w:fill="FFFFFF"/>
            <w:tcMar>
              <w:top w:w="80" w:type="dxa"/>
              <w:left w:w="120" w:type="dxa"/>
              <w:bottom w:w="80" w:type="dxa"/>
              <w:right w:w="120" w:type="dxa"/>
            </w:tcMar>
          </w:tcPr>
          <w:p w14:paraId="07969CCF" w14:textId="77777777" w:rsidR="00153A61" w:rsidRDefault="00402665">
            <w:pPr>
              <w:spacing w:after="0"/>
              <w:jc w:val="center"/>
            </w:pPr>
            <w:r>
              <w:rPr>
                <w:rFonts w:ascii="Times New Roman" w:hAnsi="Times New Roman"/>
                <w:color w:val="1E293B"/>
                <w:sz w:val="17"/>
              </w:rPr>
              <w:t>154.2 ± 48.0</w:t>
            </w:r>
          </w:p>
        </w:tc>
        <w:tc>
          <w:tcPr>
            <w:tcW w:w="1584" w:type="dxa"/>
            <w:shd w:val="clear" w:color="auto" w:fill="FFFFFF"/>
            <w:tcMar>
              <w:top w:w="80" w:type="dxa"/>
              <w:left w:w="120" w:type="dxa"/>
              <w:bottom w:w="80" w:type="dxa"/>
              <w:right w:w="120" w:type="dxa"/>
            </w:tcMar>
          </w:tcPr>
          <w:p w14:paraId="380A5BE9" w14:textId="77777777" w:rsidR="00153A61" w:rsidRDefault="00402665">
            <w:pPr>
              <w:spacing w:after="0"/>
              <w:jc w:val="center"/>
            </w:pPr>
            <w:r>
              <w:rPr>
                <w:rFonts w:ascii="Times New Roman" w:hAnsi="Times New Roman"/>
                <w:color w:val="1E293B"/>
                <w:sz w:val="17"/>
              </w:rPr>
              <w:t>3.4 ± 1.2</w:t>
            </w:r>
          </w:p>
        </w:tc>
      </w:tr>
      <w:tr w:rsidR="00153A61" w14:paraId="1F73E1B9" w14:textId="77777777">
        <w:trPr>
          <w:jc w:val="center"/>
        </w:trPr>
        <w:tc>
          <w:tcPr>
            <w:tcW w:w="3600" w:type="dxa"/>
            <w:shd w:val="clear" w:color="auto" w:fill="F8FAFC"/>
            <w:tcMar>
              <w:top w:w="80" w:type="dxa"/>
              <w:left w:w="120" w:type="dxa"/>
              <w:bottom w:w="80" w:type="dxa"/>
              <w:right w:w="120" w:type="dxa"/>
            </w:tcMar>
          </w:tcPr>
          <w:p w14:paraId="1A35EC80" w14:textId="77777777" w:rsidR="00153A61" w:rsidRDefault="00402665">
            <w:pPr>
              <w:spacing w:after="0"/>
            </w:pPr>
            <w:r>
              <w:rPr>
                <w:rFonts w:ascii="Times New Roman" w:hAnsi="Times New Roman"/>
                <w:b/>
                <w:color w:val="1E293B"/>
                <w:sz w:val="17"/>
              </w:rPr>
              <w:t>Net Empirical Surge Downwind (%)</w:t>
            </w:r>
          </w:p>
        </w:tc>
        <w:tc>
          <w:tcPr>
            <w:tcW w:w="1584" w:type="dxa"/>
            <w:shd w:val="clear" w:color="auto" w:fill="F8FAFC"/>
            <w:tcMar>
              <w:top w:w="80" w:type="dxa"/>
              <w:left w:w="120" w:type="dxa"/>
              <w:bottom w:w="80" w:type="dxa"/>
              <w:right w:w="120" w:type="dxa"/>
            </w:tcMar>
          </w:tcPr>
          <w:p w14:paraId="21BEB342" w14:textId="77777777" w:rsidR="00153A61" w:rsidRDefault="00402665">
            <w:pPr>
              <w:spacing w:after="0"/>
              <w:jc w:val="center"/>
            </w:pPr>
            <w:r>
              <w:rPr>
                <w:rFonts w:ascii="Times New Roman" w:hAnsi="Times New Roman"/>
                <w:b/>
                <w:color w:val="059669"/>
                <w:sz w:val="17"/>
              </w:rPr>
              <w:t>+74.5% Spike</w:t>
            </w:r>
          </w:p>
        </w:tc>
        <w:tc>
          <w:tcPr>
            <w:tcW w:w="1584" w:type="dxa"/>
            <w:shd w:val="clear" w:color="auto" w:fill="F8FAFC"/>
            <w:tcMar>
              <w:top w:w="80" w:type="dxa"/>
              <w:left w:w="120" w:type="dxa"/>
              <w:bottom w:w="80" w:type="dxa"/>
              <w:right w:w="120" w:type="dxa"/>
            </w:tcMar>
          </w:tcPr>
          <w:p w14:paraId="2BEFB844" w14:textId="77777777" w:rsidR="00153A61" w:rsidRDefault="00402665">
            <w:pPr>
              <w:spacing w:after="0"/>
              <w:jc w:val="center"/>
            </w:pPr>
            <w:r>
              <w:rPr>
                <w:rFonts w:ascii="Times New Roman" w:hAnsi="Times New Roman"/>
                <w:color w:val="1E293B"/>
                <w:sz w:val="17"/>
              </w:rPr>
              <w:t>+58.9% Spike</w:t>
            </w:r>
          </w:p>
        </w:tc>
        <w:tc>
          <w:tcPr>
            <w:tcW w:w="1728" w:type="dxa"/>
            <w:shd w:val="clear" w:color="auto" w:fill="F8FAFC"/>
            <w:tcMar>
              <w:top w:w="80" w:type="dxa"/>
              <w:left w:w="120" w:type="dxa"/>
              <w:bottom w:w="80" w:type="dxa"/>
              <w:right w:w="120" w:type="dxa"/>
            </w:tcMar>
          </w:tcPr>
          <w:p w14:paraId="267CDD43" w14:textId="77777777" w:rsidR="00153A61" w:rsidRDefault="00402665">
            <w:pPr>
              <w:spacing w:after="0"/>
              <w:jc w:val="center"/>
            </w:pPr>
            <w:r>
              <w:rPr>
                <w:rFonts w:ascii="Times New Roman" w:hAnsi="Times New Roman"/>
                <w:color w:val="1E293B"/>
                <w:sz w:val="17"/>
              </w:rPr>
              <w:t>+48.3% Spike</w:t>
            </w:r>
          </w:p>
        </w:tc>
        <w:tc>
          <w:tcPr>
            <w:tcW w:w="1584" w:type="dxa"/>
            <w:shd w:val="clear" w:color="auto" w:fill="F8FAFC"/>
            <w:tcMar>
              <w:top w:w="80" w:type="dxa"/>
              <w:left w:w="120" w:type="dxa"/>
              <w:bottom w:w="80" w:type="dxa"/>
              <w:right w:w="120" w:type="dxa"/>
            </w:tcMar>
          </w:tcPr>
          <w:p w14:paraId="1F41194A" w14:textId="77777777" w:rsidR="00153A61" w:rsidRDefault="00402665">
            <w:pPr>
              <w:spacing w:after="0"/>
              <w:jc w:val="center"/>
            </w:pPr>
            <w:r>
              <w:rPr>
                <w:rFonts w:ascii="Times New Roman" w:hAnsi="Times New Roman"/>
                <w:color w:val="1E293B"/>
                <w:sz w:val="17"/>
              </w:rPr>
              <w:t>+70.5% Spike</w:t>
            </w:r>
          </w:p>
        </w:tc>
      </w:tr>
      <w:tr w:rsidR="00153A61" w14:paraId="251E6533" w14:textId="77777777">
        <w:trPr>
          <w:jc w:val="center"/>
        </w:trPr>
        <w:tc>
          <w:tcPr>
            <w:tcW w:w="3600" w:type="dxa"/>
            <w:shd w:val="clear" w:color="auto" w:fill="FFFFFF"/>
            <w:tcMar>
              <w:top w:w="80" w:type="dxa"/>
              <w:left w:w="120" w:type="dxa"/>
              <w:bottom w:w="80" w:type="dxa"/>
              <w:right w:w="120" w:type="dxa"/>
            </w:tcMar>
          </w:tcPr>
          <w:p w14:paraId="3BA72A05" w14:textId="77777777" w:rsidR="00153A61" w:rsidRDefault="00402665">
            <w:pPr>
              <w:spacing w:after="0"/>
            </w:pPr>
            <w:r>
              <w:rPr>
                <w:rFonts w:ascii="Times New Roman" w:hAnsi="Times New Roman"/>
                <w:b/>
                <w:color w:val="1E293B"/>
                <w:sz w:val="17"/>
              </w:rPr>
              <w:t>Statistical Significance (p-value)</w:t>
            </w:r>
          </w:p>
        </w:tc>
        <w:tc>
          <w:tcPr>
            <w:tcW w:w="1584" w:type="dxa"/>
            <w:shd w:val="clear" w:color="auto" w:fill="FFFFFF"/>
            <w:tcMar>
              <w:top w:w="80" w:type="dxa"/>
              <w:left w:w="120" w:type="dxa"/>
              <w:bottom w:w="80" w:type="dxa"/>
              <w:right w:w="120" w:type="dxa"/>
            </w:tcMar>
          </w:tcPr>
          <w:p w14:paraId="1703DFAB" w14:textId="77777777" w:rsidR="00153A61" w:rsidRDefault="00402665">
            <w:pPr>
              <w:spacing w:after="0"/>
              <w:jc w:val="center"/>
            </w:pPr>
            <w:r>
              <w:rPr>
                <w:rFonts w:ascii="Times New Roman" w:hAnsi="Times New Roman"/>
                <w:color w:val="1E293B"/>
                <w:sz w:val="17"/>
              </w:rPr>
              <w:t>p &lt; 0.001</w:t>
            </w:r>
          </w:p>
        </w:tc>
        <w:tc>
          <w:tcPr>
            <w:tcW w:w="1584" w:type="dxa"/>
            <w:shd w:val="clear" w:color="auto" w:fill="FFFFFF"/>
            <w:tcMar>
              <w:top w:w="80" w:type="dxa"/>
              <w:left w:w="120" w:type="dxa"/>
              <w:bottom w:w="80" w:type="dxa"/>
              <w:right w:w="120" w:type="dxa"/>
            </w:tcMar>
          </w:tcPr>
          <w:p w14:paraId="0AA856D3" w14:textId="77777777" w:rsidR="00153A61" w:rsidRDefault="00402665">
            <w:pPr>
              <w:spacing w:after="0"/>
              <w:jc w:val="center"/>
            </w:pPr>
            <w:r>
              <w:rPr>
                <w:rFonts w:ascii="Times New Roman" w:hAnsi="Times New Roman"/>
                <w:color w:val="1E293B"/>
                <w:sz w:val="17"/>
              </w:rPr>
              <w:t>p &lt; 0.001</w:t>
            </w:r>
          </w:p>
        </w:tc>
        <w:tc>
          <w:tcPr>
            <w:tcW w:w="1728" w:type="dxa"/>
            <w:shd w:val="clear" w:color="auto" w:fill="FFFFFF"/>
            <w:tcMar>
              <w:top w:w="80" w:type="dxa"/>
              <w:left w:w="120" w:type="dxa"/>
              <w:bottom w:w="80" w:type="dxa"/>
              <w:right w:w="120" w:type="dxa"/>
            </w:tcMar>
          </w:tcPr>
          <w:p w14:paraId="77179CDD" w14:textId="77777777" w:rsidR="00153A61" w:rsidRDefault="00402665">
            <w:pPr>
              <w:spacing w:after="0"/>
              <w:jc w:val="center"/>
            </w:pPr>
            <w:r>
              <w:rPr>
                <w:rFonts w:ascii="Times New Roman" w:hAnsi="Times New Roman"/>
                <w:color w:val="1E293B"/>
                <w:sz w:val="17"/>
              </w:rPr>
              <w:t>p &lt; 0.001</w:t>
            </w:r>
          </w:p>
        </w:tc>
        <w:tc>
          <w:tcPr>
            <w:tcW w:w="1584" w:type="dxa"/>
            <w:shd w:val="clear" w:color="auto" w:fill="FFFFFF"/>
            <w:tcMar>
              <w:top w:w="80" w:type="dxa"/>
              <w:left w:w="120" w:type="dxa"/>
              <w:bottom w:w="80" w:type="dxa"/>
              <w:right w:w="120" w:type="dxa"/>
            </w:tcMar>
          </w:tcPr>
          <w:p w14:paraId="5FE9BDAC" w14:textId="77777777" w:rsidR="00153A61" w:rsidRDefault="00402665">
            <w:pPr>
              <w:spacing w:after="0"/>
              <w:jc w:val="center"/>
            </w:pPr>
            <w:r>
              <w:rPr>
                <w:rFonts w:ascii="Times New Roman" w:hAnsi="Times New Roman"/>
                <w:color w:val="1E293B"/>
                <w:sz w:val="17"/>
              </w:rPr>
              <w:t>p &lt; 0.001</w:t>
            </w:r>
          </w:p>
        </w:tc>
      </w:tr>
    </w:tbl>
    <w:p w14:paraId="1A1D16B8" w14:textId="77777777" w:rsidR="00153A61" w:rsidRDefault="00153A61">
      <w:pPr>
        <w:spacing w:before="160" w:after="40"/>
        <w:jc w:val="center"/>
      </w:pPr>
    </w:p>
    <w:p w14:paraId="68FD455E" w14:textId="77777777" w:rsidR="00153A61" w:rsidRDefault="00402665">
      <w:r>
        <w:rPr>
          <w:noProof/>
        </w:rPr>
        <w:drawing>
          <wp:inline distT="0" distB="0" distL="0" distR="0" wp14:anchorId="012F6B66" wp14:editId="5DF73918">
            <wp:extent cx="3148716" cy="174928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azipur_downwind_impact.png"/>
                    <pic:cNvPicPr/>
                  </pic:nvPicPr>
                  <pic:blipFill>
                    <a:blip r:embed="rId6"/>
                    <a:stretch>
                      <a:fillRect/>
                    </a:stretch>
                  </pic:blipFill>
                  <pic:spPr>
                    <a:xfrm>
                      <a:off x="0" y="0"/>
                      <a:ext cx="3169922" cy="1761068"/>
                    </a:xfrm>
                    <a:prstGeom prst="rect">
                      <a:avLst/>
                    </a:prstGeom>
                  </pic:spPr>
                </pic:pic>
              </a:graphicData>
            </a:graphic>
          </wp:inline>
        </w:drawing>
      </w:r>
    </w:p>
    <w:p w14:paraId="575B0DA6" w14:textId="77777777" w:rsidR="00153A61" w:rsidRDefault="00402665">
      <w:pPr>
        <w:spacing w:after="160"/>
        <w:jc w:val="center"/>
      </w:pPr>
      <w:r>
        <w:rPr>
          <w:rFonts w:ascii="Times New Roman" w:hAnsi="Times New Roman"/>
          <w:i/>
          <w:sz w:val="17"/>
        </w:rPr>
        <w:t>Fig. 1. Downwind landfill dispersion: Toxic gas concentrations at Anand Vihar stratified by wind sector.</w:t>
      </w:r>
    </w:p>
    <w:p w14:paraId="5B2785B9" w14:textId="77777777" w:rsidR="00153A61" w:rsidRDefault="00402665">
      <w:pPr>
        <w:keepNext/>
        <w:spacing w:before="200" w:after="60"/>
      </w:pPr>
      <w:r>
        <w:rPr>
          <w:rFonts w:ascii="Times New Roman" w:hAnsi="Times New Roman"/>
          <w:b/>
          <w:i/>
          <w:color w:val="1E293B"/>
          <w:sz w:val="20"/>
        </w:rPr>
        <w:t>B. Diurnal Nocturnal Boundary Layer Trapping</w:t>
      </w:r>
    </w:p>
    <w:p w14:paraId="1642040B" w14:textId="77777777" w:rsidR="00153A61" w:rsidRDefault="00402665">
      <w:pPr>
        <w:spacing w:after="100"/>
        <w:jc w:val="both"/>
      </w:pPr>
      <w:r>
        <w:rPr>
          <w:rFonts w:ascii="Times New Roman" w:hAnsi="Times New Roman"/>
          <w:color w:val="1E293B"/>
          <w:sz w:val="20"/>
        </w:rPr>
        <w:t>Evaluation of 24-hour diurnal pollutant concentrations disproves the common assumption that air toxicity peaks during daytime vehicular rush hours (09:00 or 18:00 IST). Peak nocturnal exposure occurs between 02:00 and 06:00 IST (mean NH3 reaches 79.8 µg/m³) due to intense ground cooling compressing the boundary layer (&lt;300m). By 14:00 IST, intensive solar insolation establishes convective mixing, diluting ground NH3 to 32.1 µg/m³ (a 59.8% reduction).</w:t>
      </w:r>
    </w:p>
    <w:p w14:paraId="7DA1DACE" w14:textId="77777777" w:rsidR="00153A61" w:rsidRDefault="00153A61">
      <w:pPr>
        <w:spacing w:before="160" w:after="40"/>
        <w:jc w:val="center"/>
      </w:pPr>
    </w:p>
    <w:p w14:paraId="4554159C" w14:textId="77777777" w:rsidR="00153A61" w:rsidRDefault="00402665">
      <w:r>
        <w:rPr>
          <w:noProof/>
        </w:rPr>
        <w:drawing>
          <wp:inline distT="0" distB="0" distL="0" distR="0" wp14:anchorId="5F97B178" wp14:editId="7111FE04">
            <wp:extent cx="3124862" cy="20832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urnal_pollutant_trends.png"/>
                    <pic:cNvPicPr/>
                  </pic:nvPicPr>
                  <pic:blipFill>
                    <a:blip r:embed="rId7"/>
                    <a:stretch>
                      <a:fillRect/>
                    </a:stretch>
                  </pic:blipFill>
                  <pic:spPr>
                    <a:xfrm>
                      <a:off x="0" y="0"/>
                      <a:ext cx="3144929" cy="2096619"/>
                    </a:xfrm>
                    <a:prstGeom prst="rect">
                      <a:avLst/>
                    </a:prstGeom>
                  </pic:spPr>
                </pic:pic>
              </a:graphicData>
            </a:graphic>
          </wp:inline>
        </w:drawing>
      </w:r>
    </w:p>
    <w:p w14:paraId="45CDD66A" w14:textId="77777777" w:rsidR="00153A61" w:rsidRDefault="00402665">
      <w:pPr>
        <w:spacing w:after="160"/>
        <w:jc w:val="center"/>
      </w:pPr>
      <w:r>
        <w:rPr>
          <w:rFonts w:ascii="Times New Roman" w:hAnsi="Times New Roman"/>
          <w:i/>
          <w:sz w:val="17"/>
        </w:rPr>
        <w:t>Fig. 2. 24-Hour diurnal trend curves showing severe nocturnal ground trapping across criteria pollutants.</w:t>
      </w:r>
    </w:p>
    <w:p w14:paraId="04A78B0F" w14:textId="77777777" w:rsidR="00153A61" w:rsidRDefault="00402665">
      <w:pPr>
        <w:keepNext/>
        <w:spacing w:before="200" w:after="60"/>
      </w:pPr>
      <w:r>
        <w:rPr>
          <w:rFonts w:ascii="Times New Roman" w:hAnsi="Times New Roman"/>
          <w:b/>
          <w:i/>
          <w:color w:val="1E293B"/>
          <w:sz w:val="20"/>
        </w:rPr>
        <w:t>C. Multi-Gas Predictive Modeling Benchmarks</w:t>
      </w:r>
    </w:p>
    <w:p w14:paraId="2A8E7D2A" w14:textId="77777777" w:rsidR="00153A61" w:rsidRDefault="00402665">
      <w:pPr>
        <w:spacing w:after="100"/>
        <w:jc w:val="both"/>
      </w:pPr>
      <w:r>
        <w:rPr>
          <w:rFonts w:ascii="Times New Roman" w:hAnsi="Times New Roman"/>
          <w:color w:val="1E293B"/>
          <w:sz w:val="20"/>
        </w:rPr>
        <w:t>Table III summarizes 1-hour ahead continuous regression benchmarks across all 9 monitored gases on the chronologically isolated test set (14,036 records).</w:t>
      </w:r>
    </w:p>
    <w:p w14:paraId="37648F5F" w14:textId="77777777" w:rsidR="00153A61" w:rsidRDefault="00402665">
      <w:pPr>
        <w:spacing w:before="160" w:after="40"/>
        <w:jc w:val="center"/>
      </w:pPr>
      <w:r>
        <w:rPr>
          <w:rFonts w:ascii="Times New Roman" w:hAnsi="Times New Roman"/>
          <w:b/>
          <w:sz w:val="17"/>
        </w:rPr>
        <w:t>TABLE III. MULTI-GAS CONTINUOUS 1-HOUR AHEAD FORECASTING BENCHMARK</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168"/>
        <w:gridCol w:w="1311"/>
        <w:gridCol w:w="798"/>
        <w:gridCol w:w="845"/>
        <w:gridCol w:w="798"/>
      </w:tblGrid>
      <w:tr w:rsidR="00153A61" w14:paraId="3376FB50" w14:textId="77777777">
        <w:trPr>
          <w:tblHeader/>
          <w:jc w:val="center"/>
        </w:trPr>
        <w:tc>
          <w:tcPr>
            <w:tcW w:w="2592" w:type="dxa"/>
            <w:shd w:val="clear" w:color="auto" w:fill="0F172A"/>
            <w:tcMar>
              <w:top w:w="120" w:type="dxa"/>
              <w:left w:w="120" w:type="dxa"/>
              <w:bottom w:w="120" w:type="dxa"/>
              <w:right w:w="120" w:type="dxa"/>
            </w:tcMar>
          </w:tcPr>
          <w:p w14:paraId="27DD048F" w14:textId="77777777" w:rsidR="00153A61" w:rsidRDefault="00402665">
            <w:pPr>
              <w:spacing w:after="0"/>
            </w:pPr>
            <w:r>
              <w:rPr>
                <w:rFonts w:ascii="Times New Roman" w:hAnsi="Times New Roman"/>
                <w:b/>
                <w:color w:val="FFFFFF"/>
                <w:sz w:val="18"/>
              </w:rPr>
              <w:lastRenderedPageBreak/>
              <w:t>Gas Species</w:t>
            </w:r>
          </w:p>
        </w:tc>
        <w:tc>
          <w:tcPr>
            <w:tcW w:w="3168" w:type="dxa"/>
            <w:shd w:val="clear" w:color="auto" w:fill="0F172A"/>
            <w:tcMar>
              <w:top w:w="120" w:type="dxa"/>
              <w:left w:w="120" w:type="dxa"/>
              <w:bottom w:w="120" w:type="dxa"/>
              <w:right w:w="120" w:type="dxa"/>
            </w:tcMar>
          </w:tcPr>
          <w:p w14:paraId="65049BA4" w14:textId="77777777" w:rsidR="00153A61" w:rsidRDefault="00402665">
            <w:pPr>
              <w:spacing w:after="0"/>
              <w:jc w:val="center"/>
            </w:pPr>
            <w:r>
              <w:rPr>
                <w:rFonts w:ascii="Times New Roman" w:hAnsi="Times New Roman"/>
                <w:b/>
                <w:color w:val="FFFFFF"/>
                <w:sz w:val="18"/>
              </w:rPr>
              <w:t>Champion Model Algorithm</w:t>
            </w:r>
          </w:p>
        </w:tc>
        <w:tc>
          <w:tcPr>
            <w:tcW w:w="1440" w:type="dxa"/>
            <w:shd w:val="clear" w:color="auto" w:fill="0F172A"/>
            <w:tcMar>
              <w:top w:w="120" w:type="dxa"/>
              <w:left w:w="120" w:type="dxa"/>
              <w:bottom w:w="120" w:type="dxa"/>
              <w:right w:w="120" w:type="dxa"/>
            </w:tcMar>
          </w:tcPr>
          <w:p w14:paraId="7CD3DD88" w14:textId="77777777" w:rsidR="00153A61" w:rsidRDefault="00402665">
            <w:pPr>
              <w:spacing w:after="0"/>
              <w:jc w:val="center"/>
            </w:pPr>
            <w:r>
              <w:rPr>
                <w:rFonts w:ascii="Times New Roman" w:hAnsi="Times New Roman"/>
                <w:b/>
                <w:color w:val="FFFFFF"/>
                <w:sz w:val="18"/>
              </w:rPr>
              <w:t>R² Score</w:t>
            </w:r>
          </w:p>
        </w:tc>
        <w:tc>
          <w:tcPr>
            <w:tcW w:w="1440" w:type="dxa"/>
            <w:shd w:val="clear" w:color="auto" w:fill="0F172A"/>
            <w:tcMar>
              <w:top w:w="120" w:type="dxa"/>
              <w:left w:w="120" w:type="dxa"/>
              <w:bottom w:w="120" w:type="dxa"/>
              <w:right w:w="120" w:type="dxa"/>
            </w:tcMar>
          </w:tcPr>
          <w:p w14:paraId="66E6AD61" w14:textId="77777777" w:rsidR="00153A61" w:rsidRDefault="00402665">
            <w:pPr>
              <w:spacing w:after="0"/>
              <w:jc w:val="center"/>
            </w:pPr>
            <w:r>
              <w:rPr>
                <w:rFonts w:ascii="Times New Roman" w:hAnsi="Times New Roman"/>
                <w:b/>
                <w:color w:val="FFFFFF"/>
                <w:sz w:val="18"/>
              </w:rPr>
              <w:t>RMSE</w:t>
            </w:r>
          </w:p>
        </w:tc>
        <w:tc>
          <w:tcPr>
            <w:tcW w:w="1440" w:type="dxa"/>
            <w:shd w:val="clear" w:color="auto" w:fill="0F172A"/>
            <w:tcMar>
              <w:top w:w="120" w:type="dxa"/>
              <w:left w:w="120" w:type="dxa"/>
              <w:bottom w:w="120" w:type="dxa"/>
              <w:right w:w="120" w:type="dxa"/>
            </w:tcMar>
          </w:tcPr>
          <w:p w14:paraId="3A964F8F" w14:textId="77777777" w:rsidR="00153A61" w:rsidRDefault="00402665">
            <w:pPr>
              <w:spacing w:after="0"/>
              <w:jc w:val="center"/>
            </w:pPr>
            <w:r>
              <w:rPr>
                <w:rFonts w:ascii="Times New Roman" w:hAnsi="Times New Roman"/>
                <w:b/>
                <w:color w:val="FFFFFF"/>
                <w:sz w:val="18"/>
              </w:rPr>
              <w:t>MAE</w:t>
            </w:r>
          </w:p>
        </w:tc>
      </w:tr>
      <w:tr w:rsidR="00153A61" w14:paraId="7EB8E70D" w14:textId="77777777">
        <w:trPr>
          <w:jc w:val="center"/>
        </w:trPr>
        <w:tc>
          <w:tcPr>
            <w:tcW w:w="2592" w:type="dxa"/>
            <w:shd w:val="clear" w:color="auto" w:fill="FFFFFF"/>
            <w:tcMar>
              <w:top w:w="80" w:type="dxa"/>
              <w:left w:w="120" w:type="dxa"/>
              <w:bottom w:w="80" w:type="dxa"/>
              <w:right w:w="120" w:type="dxa"/>
            </w:tcMar>
          </w:tcPr>
          <w:p w14:paraId="76940825" w14:textId="77777777" w:rsidR="00153A61" w:rsidRDefault="00402665">
            <w:pPr>
              <w:spacing w:after="0"/>
            </w:pPr>
            <w:r>
              <w:rPr>
                <w:rFonts w:ascii="Times New Roman" w:hAnsi="Times New Roman"/>
                <w:b/>
                <w:color w:val="1E293B"/>
                <w:sz w:val="17"/>
              </w:rPr>
              <w:t>PM2.5 (µg/m³)</w:t>
            </w:r>
          </w:p>
        </w:tc>
        <w:tc>
          <w:tcPr>
            <w:tcW w:w="3168" w:type="dxa"/>
            <w:shd w:val="clear" w:color="auto" w:fill="FFFFFF"/>
            <w:tcMar>
              <w:top w:w="80" w:type="dxa"/>
              <w:left w:w="120" w:type="dxa"/>
              <w:bottom w:w="80" w:type="dxa"/>
              <w:right w:w="120" w:type="dxa"/>
            </w:tcMar>
          </w:tcPr>
          <w:p w14:paraId="28097CB6" w14:textId="77777777" w:rsidR="00153A61" w:rsidRDefault="00402665">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0F0222F8" w14:textId="77777777" w:rsidR="00153A61" w:rsidRDefault="00402665">
            <w:pPr>
              <w:spacing w:after="0"/>
              <w:jc w:val="center"/>
            </w:pPr>
            <w:r>
              <w:rPr>
                <w:rFonts w:ascii="Times New Roman" w:hAnsi="Times New Roman"/>
                <w:b/>
                <w:color w:val="059669"/>
                <w:sz w:val="17"/>
              </w:rPr>
              <w:t>0.9293</w:t>
            </w:r>
          </w:p>
        </w:tc>
        <w:tc>
          <w:tcPr>
            <w:tcW w:w="1440" w:type="dxa"/>
            <w:shd w:val="clear" w:color="auto" w:fill="FFFFFF"/>
            <w:tcMar>
              <w:top w:w="80" w:type="dxa"/>
              <w:left w:w="120" w:type="dxa"/>
              <w:bottom w:w="80" w:type="dxa"/>
              <w:right w:w="120" w:type="dxa"/>
            </w:tcMar>
          </w:tcPr>
          <w:p w14:paraId="60043731" w14:textId="77777777" w:rsidR="00153A61" w:rsidRDefault="00402665">
            <w:pPr>
              <w:spacing w:after="0"/>
              <w:jc w:val="center"/>
            </w:pPr>
            <w:r>
              <w:rPr>
                <w:rFonts w:ascii="Times New Roman" w:hAnsi="Times New Roman"/>
                <w:color w:val="1E293B"/>
                <w:sz w:val="17"/>
              </w:rPr>
              <w:t>36.079</w:t>
            </w:r>
          </w:p>
        </w:tc>
        <w:tc>
          <w:tcPr>
            <w:tcW w:w="1440" w:type="dxa"/>
            <w:shd w:val="clear" w:color="auto" w:fill="FFFFFF"/>
            <w:tcMar>
              <w:top w:w="80" w:type="dxa"/>
              <w:left w:w="120" w:type="dxa"/>
              <w:bottom w:w="80" w:type="dxa"/>
              <w:right w:w="120" w:type="dxa"/>
            </w:tcMar>
          </w:tcPr>
          <w:p w14:paraId="1CC64E5C" w14:textId="77777777" w:rsidR="00153A61" w:rsidRDefault="00402665">
            <w:pPr>
              <w:spacing w:after="0"/>
              <w:jc w:val="center"/>
            </w:pPr>
            <w:r>
              <w:rPr>
                <w:rFonts w:ascii="Times New Roman" w:hAnsi="Times New Roman"/>
                <w:color w:val="1E293B"/>
                <w:sz w:val="17"/>
              </w:rPr>
              <w:t>23.028</w:t>
            </w:r>
          </w:p>
        </w:tc>
      </w:tr>
      <w:tr w:rsidR="00153A61" w14:paraId="6E4F28CB" w14:textId="77777777">
        <w:trPr>
          <w:jc w:val="center"/>
        </w:trPr>
        <w:tc>
          <w:tcPr>
            <w:tcW w:w="2592" w:type="dxa"/>
            <w:shd w:val="clear" w:color="auto" w:fill="F8FAFC"/>
            <w:tcMar>
              <w:top w:w="80" w:type="dxa"/>
              <w:left w:w="120" w:type="dxa"/>
              <w:bottom w:w="80" w:type="dxa"/>
              <w:right w:w="120" w:type="dxa"/>
            </w:tcMar>
          </w:tcPr>
          <w:p w14:paraId="1684D071" w14:textId="77777777" w:rsidR="00153A61" w:rsidRDefault="00402665">
            <w:pPr>
              <w:spacing w:after="0"/>
            </w:pPr>
            <w:r>
              <w:rPr>
                <w:rFonts w:ascii="Times New Roman" w:hAnsi="Times New Roman"/>
                <w:b/>
                <w:color w:val="1E293B"/>
                <w:sz w:val="17"/>
              </w:rPr>
              <w:t>Benzene (µg/m³)</w:t>
            </w:r>
          </w:p>
        </w:tc>
        <w:tc>
          <w:tcPr>
            <w:tcW w:w="3168" w:type="dxa"/>
            <w:shd w:val="clear" w:color="auto" w:fill="F8FAFC"/>
            <w:tcMar>
              <w:top w:w="80" w:type="dxa"/>
              <w:left w:w="120" w:type="dxa"/>
              <w:bottom w:w="80" w:type="dxa"/>
              <w:right w:w="120" w:type="dxa"/>
            </w:tcMar>
          </w:tcPr>
          <w:p w14:paraId="003D3621" w14:textId="77777777" w:rsidR="00153A61" w:rsidRDefault="00402665">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47523082" w14:textId="77777777" w:rsidR="00153A61" w:rsidRDefault="00402665">
            <w:pPr>
              <w:spacing w:after="0"/>
              <w:jc w:val="center"/>
            </w:pPr>
            <w:r>
              <w:rPr>
                <w:rFonts w:ascii="Times New Roman" w:hAnsi="Times New Roman"/>
                <w:color w:val="1E293B"/>
                <w:sz w:val="17"/>
              </w:rPr>
              <w:t>0.9002</w:t>
            </w:r>
          </w:p>
        </w:tc>
        <w:tc>
          <w:tcPr>
            <w:tcW w:w="1440" w:type="dxa"/>
            <w:shd w:val="clear" w:color="auto" w:fill="F8FAFC"/>
            <w:tcMar>
              <w:top w:w="80" w:type="dxa"/>
              <w:left w:w="120" w:type="dxa"/>
              <w:bottom w:w="80" w:type="dxa"/>
              <w:right w:w="120" w:type="dxa"/>
            </w:tcMar>
          </w:tcPr>
          <w:p w14:paraId="371BBEA0" w14:textId="77777777" w:rsidR="00153A61" w:rsidRDefault="00402665">
            <w:pPr>
              <w:spacing w:after="0"/>
              <w:jc w:val="center"/>
            </w:pPr>
            <w:r>
              <w:rPr>
                <w:rFonts w:ascii="Times New Roman" w:hAnsi="Times New Roman"/>
                <w:color w:val="1E293B"/>
                <w:sz w:val="17"/>
              </w:rPr>
              <w:t>1.206</w:t>
            </w:r>
          </w:p>
        </w:tc>
        <w:tc>
          <w:tcPr>
            <w:tcW w:w="1440" w:type="dxa"/>
            <w:shd w:val="clear" w:color="auto" w:fill="F8FAFC"/>
            <w:tcMar>
              <w:top w:w="80" w:type="dxa"/>
              <w:left w:w="120" w:type="dxa"/>
              <w:bottom w:w="80" w:type="dxa"/>
              <w:right w:w="120" w:type="dxa"/>
            </w:tcMar>
          </w:tcPr>
          <w:p w14:paraId="3E6CC85B" w14:textId="77777777" w:rsidR="00153A61" w:rsidRDefault="00402665">
            <w:pPr>
              <w:spacing w:after="0"/>
              <w:jc w:val="center"/>
            </w:pPr>
            <w:r>
              <w:rPr>
                <w:rFonts w:ascii="Times New Roman" w:hAnsi="Times New Roman"/>
                <w:color w:val="1E293B"/>
                <w:sz w:val="17"/>
              </w:rPr>
              <w:t>0.715</w:t>
            </w:r>
          </w:p>
        </w:tc>
      </w:tr>
      <w:tr w:rsidR="00153A61" w14:paraId="43CB89AE" w14:textId="77777777">
        <w:trPr>
          <w:jc w:val="center"/>
        </w:trPr>
        <w:tc>
          <w:tcPr>
            <w:tcW w:w="2592" w:type="dxa"/>
            <w:shd w:val="clear" w:color="auto" w:fill="FFFFFF"/>
            <w:tcMar>
              <w:top w:w="80" w:type="dxa"/>
              <w:left w:w="120" w:type="dxa"/>
              <w:bottom w:w="80" w:type="dxa"/>
              <w:right w:w="120" w:type="dxa"/>
            </w:tcMar>
          </w:tcPr>
          <w:p w14:paraId="6DDCD680" w14:textId="77777777" w:rsidR="00153A61" w:rsidRDefault="00402665">
            <w:pPr>
              <w:spacing w:after="0"/>
            </w:pPr>
            <w:r>
              <w:rPr>
                <w:rFonts w:ascii="Times New Roman" w:hAnsi="Times New Roman"/>
                <w:b/>
                <w:color w:val="1E293B"/>
                <w:sz w:val="17"/>
              </w:rPr>
              <w:t>PM10 (µg/m³)</w:t>
            </w:r>
          </w:p>
        </w:tc>
        <w:tc>
          <w:tcPr>
            <w:tcW w:w="3168" w:type="dxa"/>
            <w:shd w:val="clear" w:color="auto" w:fill="FFFFFF"/>
            <w:tcMar>
              <w:top w:w="80" w:type="dxa"/>
              <w:left w:w="120" w:type="dxa"/>
              <w:bottom w:w="80" w:type="dxa"/>
              <w:right w:w="120" w:type="dxa"/>
            </w:tcMar>
          </w:tcPr>
          <w:p w14:paraId="4C1DD5EC" w14:textId="77777777" w:rsidR="00153A61" w:rsidRDefault="00402665">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2FA4AE74" w14:textId="77777777" w:rsidR="00153A61" w:rsidRDefault="00402665">
            <w:pPr>
              <w:spacing w:after="0"/>
              <w:jc w:val="center"/>
            </w:pPr>
            <w:r>
              <w:rPr>
                <w:rFonts w:ascii="Times New Roman" w:hAnsi="Times New Roman"/>
                <w:color w:val="1E293B"/>
                <w:sz w:val="17"/>
              </w:rPr>
              <w:t>0.8608</w:t>
            </w:r>
          </w:p>
        </w:tc>
        <w:tc>
          <w:tcPr>
            <w:tcW w:w="1440" w:type="dxa"/>
            <w:shd w:val="clear" w:color="auto" w:fill="FFFFFF"/>
            <w:tcMar>
              <w:top w:w="80" w:type="dxa"/>
              <w:left w:w="120" w:type="dxa"/>
              <w:bottom w:w="80" w:type="dxa"/>
              <w:right w:w="120" w:type="dxa"/>
            </w:tcMar>
          </w:tcPr>
          <w:p w14:paraId="5BC56B4F" w14:textId="77777777" w:rsidR="00153A61" w:rsidRDefault="00402665">
            <w:pPr>
              <w:spacing w:after="0"/>
              <w:jc w:val="center"/>
            </w:pPr>
            <w:r>
              <w:rPr>
                <w:rFonts w:ascii="Times New Roman" w:hAnsi="Times New Roman"/>
                <w:color w:val="1E293B"/>
                <w:sz w:val="17"/>
              </w:rPr>
              <w:t>79.408</w:t>
            </w:r>
          </w:p>
        </w:tc>
        <w:tc>
          <w:tcPr>
            <w:tcW w:w="1440" w:type="dxa"/>
            <w:shd w:val="clear" w:color="auto" w:fill="FFFFFF"/>
            <w:tcMar>
              <w:top w:w="80" w:type="dxa"/>
              <w:left w:w="120" w:type="dxa"/>
              <w:bottom w:w="80" w:type="dxa"/>
              <w:right w:w="120" w:type="dxa"/>
            </w:tcMar>
          </w:tcPr>
          <w:p w14:paraId="3FB2A75E" w14:textId="77777777" w:rsidR="00153A61" w:rsidRDefault="00402665">
            <w:pPr>
              <w:spacing w:after="0"/>
              <w:jc w:val="center"/>
            </w:pPr>
            <w:r>
              <w:rPr>
                <w:rFonts w:ascii="Times New Roman" w:hAnsi="Times New Roman"/>
                <w:color w:val="1E293B"/>
                <w:sz w:val="17"/>
              </w:rPr>
              <w:t>54.271</w:t>
            </w:r>
          </w:p>
        </w:tc>
      </w:tr>
      <w:tr w:rsidR="00153A61" w14:paraId="3F3961B8" w14:textId="77777777">
        <w:trPr>
          <w:jc w:val="center"/>
        </w:trPr>
        <w:tc>
          <w:tcPr>
            <w:tcW w:w="2592" w:type="dxa"/>
            <w:shd w:val="clear" w:color="auto" w:fill="F8FAFC"/>
            <w:tcMar>
              <w:top w:w="80" w:type="dxa"/>
              <w:left w:w="120" w:type="dxa"/>
              <w:bottom w:w="80" w:type="dxa"/>
              <w:right w:w="120" w:type="dxa"/>
            </w:tcMar>
          </w:tcPr>
          <w:p w14:paraId="726DAB74" w14:textId="77777777" w:rsidR="00153A61" w:rsidRDefault="00402665">
            <w:pPr>
              <w:spacing w:after="0"/>
            </w:pPr>
            <w:r>
              <w:rPr>
                <w:rFonts w:ascii="Times New Roman" w:hAnsi="Times New Roman"/>
                <w:b/>
                <w:color w:val="1E293B"/>
                <w:sz w:val="17"/>
              </w:rPr>
              <w:t>Toluene (µg/m³)</w:t>
            </w:r>
          </w:p>
        </w:tc>
        <w:tc>
          <w:tcPr>
            <w:tcW w:w="3168" w:type="dxa"/>
            <w:shd w:val="clear" w:color="auto" w:fill="F8FAFC"/>
            <w:tcMar>
              <w:top w:w="80" w:type="dxa"/>
              <w:left w:w="120" w:type="dxa"/>
              <w:bottom w:w="80" w:type="dxa"/>
              <w:right w:w="120" w:type="dxa"/>
            </w:tcMar>
          </w:tcPr>
          <w:p w14:paraId="745779C6" w14:textId="77777777" w:rsidR="00153A61" w:rsidRDefault="00402665">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5AE78BDA" w14:textId="77777777" w:rsidR="00153A61" w:rsidRDefault="00402665">
            <w:pPr>
              <w:spacing w:after="0"/>
              <w:jc w:val="center"/>
            </w:pPr>
            <w:r>
              <w:rPr>
                <w:rFonts w:ascii="Times New Roman" w:hAnsi="Times New Roman"/>
                <w:color w:val="1E293B"/>
                <w:sz w:val="17"/>
              </w:rPr>
              <w:t>0.8531</w:t>
            </w:r>
          </w:p>
        </w:tc>
        <w:tc>
          <w:tcPr>
            <w:tcW w:w="1440" w:type="dxa"/>
            <w:shd w:val="clear" w:color="auto" w:fill="F8FAFC"/>
            <w:tcMar>
              <w:top w:w="80" w:type="dxa"/>
              <w:left w:w="120" w:type="dxa"/>
              <w:bottom w:w="80" w:type="dxa"/>
              <w:right w:w="120" w:type="dxa"/>
            </w:tcMar>
          </w:tcPr>
          <w:p w14:paraId="7FED0BD3" w14:textId="77777777" w:rsidR="00153A61" w:rsidRDefault="00402665">
            <w:pPr>
              <w:spacing w:after="0"/>
              <w:jc w:val="center"/>
            </w:pPr>
            <w:r>
              <w:rPr>
                <w:rFonts w:ascii="Times New Roman" w:hAnsi="Times New Roman"/>
                <w:color w:val="1E293B"/>
                <w:sz w:val="17"/>
              </w:rPr>
              <w:t>13.979</w:t>
            </w:r>
          </w:p>
        </w:tc>
        <w:tc>
          <w:tcPr>
            <w:tcW w:w="1440" w:type="dxa"/>
            <w:shd w:val="clear" w:color="auto" w:fill="F8FAFC"/>
            <w:tcMar>
              <w:top w:w="80" w:type="dxa"/>
              <w:left w:w="120" w:type="dxa"/>
              <w:bottom w:w="80" w:type="dxa"/>
              <w:right w:w="120" w:type="dxa"/>
            </w:tcMar>
          </w:tcPr>
          <w:p w14:paraId="43EB917E" w14:textId="77777777" w:rsidR="00153A61" w:rsidRDefault="00402665">
            <w:pPr>
              <w:spacing w:after="0"/>
              <w:jc w:val="center"/>
            </w:pPr>
            <w:r>
              <w:rPr>
                <w:rFonts w:ascii="Times New Roman" w:hAnsi="Times New Roman"/>
                <w:color w:val="1E293B"/>
                <w:sz w:val="17"/>
              </w:rPr>
              <w:t>8.459</w:t>
            </w:r>
          </w:p>
        </w:tc>
      </w:tr>
      <w:tr w:rsidR="00153A61" w14:paraId="3789C15E" w14:textId="77777777">
        <w:trPr>
          <w:jc w:val="center"/>
        </w:trPr>
        <w:tc>
          <w:tcPr>
            <w:tcW w:w="2592" w:type="dxa"/>
            <w:shd w:val="clear" w:color="auto" w:fill="FFFFFF"/>
            <w:tcMar>
              <w:top w:w="80" w:type="dxa"/>
              <w:left w:w="120" w:type="dxa"/>
              <w:bottom w:w="80" w:type="dxa"/>
              <w:right w:w="120" w:type="dxa"/>
            </w:tcMar>
          </w:tcPr>
          <w:p w14:paraId="1766AC9C" w14:textId="77777777" w:rsidR="00153A61" w:rsidRDefault="00402665">
            <w:pPr>
              <w:spacing w:after="0"/>
            </w:pPr>
            <w:r>
              <w:rPr>
                <w:rFonts w:ascii="Times New Roman" w:hAnsi="Times New Roman"/>
                <w:b/>
                <w:color w:val="1E293B"/>
                <w:sz w:val="17"/>
              </w:rPr>
              <w:t>Carbon Monoxide (CO mg/m³)</w:t>
            </w:r>
          </w:p>
        </w:tc>
        <w:tc>
          <w:tcPr>
            <w:tcW w:w="3168" w:type="dxa"/>
            <w:shd w:val="clear" w:color="auto" w:fill="FFFFFF"/>
            <w:tcMar>
              <w:top w:w="80" w:type="dxa"/>
              <w:left w:w="120" w:type="dxa"/>
              <w:bottom w:w="80" w:type="dxa"/>
              <w:right w:w="120" w:type="dxa"/>
            </w:tcMar>
          </w:tcPr>
          <w:p w14:paraId="58F88B33" w14:textId="77777777" w:rsidR="00153A61" w:rsidRDefault="00402665">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52011C03" w14:textId="77777777" w:rsidR="00153A61" w:rsidRDefault="00402665">
            <w:pPr>
              <w:spacing w:after="0"/>
              <w:jc w:val="center"/>
            </w:pPr>
            <w:r>
              <w:rPr>
                <w:rFonts w:ascii="Times New Roman" w:hAnsi="Times New Roman"/>
                <w:color w:val="1E293B"/>
                <w:sz w:val="17"/>
              </w:rPr>
              <w:t>0.8411</w:t>
            </w:r>
          </w:p>
        </w:tc>
        <w:tc>
          <w:tcPr>
            <w:tcW w:w="1440" w:type="dxa"/>
            <w:shd w:val="clear" w:color="auto" w:fill="FFFFFF"/>
            <w:tcMar>
              <w:top w:w="80" w:type="dxa"/>
              <w:left w:w="120" w:type="dxa"/>
              <w:bottom w:w="80" w:type="dxa"/>
              <w:right w:w="120" w:type="dxa"/>
            </w:tcMar>
          </w:tcPr>
          <w:p w14:paraId="0F9C7BEE" w14:textId="77777777" w:rsidR="00153A61" w:rsidRDefault="00402665">
            <w:pPr>
              <w:spacing w:after="0"/>
              <w:jc w:val="center"/>
            </w:pPr>
            <w:r>
              <w:rPr>
                <w:rFonts w:ascii="Times New Roman" w:hAnsi="Times New Roman"/>
                <w:color w:val="1E293B"/>
                <w:sz w:val="17"/>
              </w:rPr>
              <w:t>0.655</w:t>
            </w:r>
          </w:p>
        </w:tc>
        <w:tc>
          <w:tcPr>
            <w:tcW w:w="1440" w:type="dxa"/>
            <w:shd w:val="clear" w:color="auto" w:fill="FFFFFF"/>
            <w:tcMar>
              <w:top w:w="80" w:type="dxa"/>
              <w:left w:w="120" w:type="dxa"/>
              <w:bottom w:w="80" w:type="dxa"/>
              <w:right w:w="120" w:type="dxa"/>
            </w:tcMar>
          </w:tcPr>
          <w:p w14:paraId="014B0EF7" w14:textId="77777777" w:rsidR="00153A61" w:rsidRDefault="00402665">
            <w:pPr>
              <w:spacing w:after="0"/>
              <w:jc w:val="center"/>
            </w:pPr>
            <w:r>
              <w:rPr>
                <w:rFonts w:ascii="Times New Roman" w:hAnsi="Times New Roman"/>
                <w:color w:val="1E293B"/>
                <w:sz w:val="17"/>
              </w:rPr>
              <w:t>0.296</w:t>
            </w:r>
          </w:p>
        </w:tc>
      </w:tr>
      <w:tr w:rsidR="00153A61" w14:paraId="66DE418C" w14:textId="77777777">
        <w:trPr>
          <w:jc w:val="center"/>
        </w:trPr>
        <w:tc>
          <w:tcPr>
            <w:tcW w:w="2592" w:type="dxa"/>
            <w:shd w:val="clear" w:color="auto" w:fill="F8FAFC"/>
            <w:tcMar>
              <w:top w:w="80" w:type="dxa"/>
              <w:left w:w="120" w:type="dxa"/>
              <w:bottom w:w="80" w:type="dxa"/>
              <w:right w:w="120" w:type="dxa"/>
            </w:tcMar>
          </w:tcPr>
          <w:p w14:paraId="3ACC105C" w14:textId="77777777" w:rsidR="00153A61" w:rsidRDefault="00402665">
            <w:pPr>
              <w:spacing w:after="0"/>
            </w:pPr>
            <w:r>
              <w:rPr>
                <w:rFonts w:ascii="Times New Roman" w:hAnsi="Times New Roman"/>
                <w:b/>
                <w:color w:val="1E293B"/>
                <w:sz w:val="17"/>
              </w:rPr>
              <w:t>Ammonia (NH3 µg/m³)</w:t>
            </w:r>
          </w:p>
        </w:tc>
        <w:tc>
          <w:tcPr>
            <w:tcW w:w="3168" w:type="dxa"/>
            <w:shd w:val="clear" w:color="auto" w:fill="F8FAFC"/>
            <w:tcMar>
              <w:top w:w="80" w:type="dxa"/>
              <w:left w:w="120" w:type="dxa"/>
              <w:bottom w:w="80" w:type="dxa"/>
              <w:right w:w="120" w:type="dxa"/>
            </w:tcMar>
          </w:tcPr>
          <w:p w14:paraId="419C7D3A" w14:textId="77777777" w:rsidR="00153A61" w:rsidRDefault="00402665">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2B7CF1D0" w14:textId="77777777" w:rsidR="00153A61" w:rsidRDefault="00402665">
            <w:pPr>
              <w:spacing w:after="0"/>
              <w:jc w:val="center"/>
            </w:pPr>
            <w:r>
              <w:rPr>
                <w:rFonts w:ascii="Times New Roman" w:hAnsi="Times New Roman"/>
                <w:color w:val="1E293B"/>
                <w:sz w:val="17"/>
              </w:rPr>
              <w:t>0.8462</w:t>
            </w:r>
          </w:p>
        </w:tc>
        <w:tc>
          <w:tcPr>
            <w:tcW w:w="1440" w:type="dxa"/>
            <w:shd w:val="clear" w:color="auto" w:fill="F8FAFC"/>
            <w:tcMar>
              <w:top w:w="80" w:type="dxa"/>
              <w:left w:w="120" w:type="dxa"/>
              <w:bottom w:w="80" w:type="dxa"/>
              <w:right w:w="120" w:type="dxa"/>
            </w:tcMar>
          </w:tcPr>
          <w:p w14:paraId="735586EF" w14:textId="77777777" w:rsidR="00153A61" w:rsidRDefault="00402665">
            <w:pPr>
              <w:spacing w:after="0"/>
              <w:jc w:val="center"/>
            </w:pPr>
            <w:r>
              <w:rPr>
                <w:rFonts w:ascii="Times New Roman" w:hAnsi="Times New Roman"/>
                <w:color w:val="1E293B"/>
                <w:sz w:val="17"/>
              </w:rPr>
              <w:t>10.806</w:t>
            </w:r>
          </w:p>
        </w:tc>
        <w:tc>
          <w:tcPr>
            <w:tcW w:w="1440" w:type="dxa"/>
            <w:shd w:val="clear" w:color="auto" w:fill="F8FAFC"/>
            <w:tcMar>
              <w:top w:w="80" w:type="dxa"/>
              <w:left w:w="120" w:type="dxa"/>
              <w:bottom w:w="80" w:type="dxa"/>
              <w:right w:w="120" w:type="dxa"/>
            </w:tcMar>
          </w:tcPr>
          <w:p w14:paraId="33267EE1" w14:textId="77777777" w:rsidR="00153A61" w:rsidRDefault="00402665">
            <w:pPr>
              <w:spacing w:after="0"/>
              <w:jc w:val="center"/>
            </w:pPr>
            <w:r>
              <w:rPr>
                <w:rFonts w:ascii="Times New Roman" w:hAnsi="Times New Roman"/>
                <w:color w:val="1E293B"/>
                <w:sz w:val="17"/>
              </w:rPr>
              <w:t>5.893</w:t>
            </w:r>
          </w:p>
        </w:tc>
      </w:tr>
      <w:tr w:rsidR="00153A61" w14:paraId="780D787D" w14:textId="77777777">
        <w:trPr>
          <w:jc w:val="center"/>
        </w:trPr>
        <w:tc>
          <w:tcPr>
            <w:tcW w:w="2592" w:type="dxa"/>
            <w:shd w:val="clear" w:color="auto" w:fill="FFFFFF"/>
            <w:tcMar>
              <w:top w:w="80" w:type="dxa"/>
              <w:left w:w="120" w:type="dxa"/>
              <w:bottom w:w="80" w:type="dxa"/>
              <w:right w:w="120" w:type="dxa"/>
            </w:tcMar>
          </w:tcPr>
          <w:p w14:paraId="77858075" w14:textId="77777777" w:rsidR="00153A61" w:rsidRDefault="00402665">
            <w:pPr>
              <w:spacing w:after="0"/>
            </w:pPr>
            <w:r>
              <w:rPr>
                <w:rFonts w:ascii="Times New Roman" w:hAnsi="Times New Roman"/>
                <w:b/>
                <w:color w:val="1E293B"/>
                <w:sz w:val="17"/>
              </w:rPr>
              <w:t>Nitrogen Dioxide (NO2)</w:t>
            </w:r>
          </w:p>
        </w:tc>
        <w:tc>
          <w:tcPr>
            <w:tcW w:w="3168" w:type="dxa"/>
            <w:shd w:val="clear" w:color="auto" w:fill="FFFFFF"/>
            <w:tcMar>
              <w:top w:w="80" w:type="dxa"/>
              <w:left w:w="120" w:type="dxa"/>
              <w:bottom w:w="80" w:type="dxa"/>
              <w:right w:w="120" w:type="dxa"/>
            </w:tcMar>
          </w:tcPr>
          <w:p w14:paraId="579DF839" w14:textId="77777777" w:rsidR="00153A61" w:rsidRDefault="00402665">
            <w:pPr>
              <w:spacing w:after="0"/>
              <w:jc w:val="center"/>
            </w:pPr>
            <w:r>
              <w:rPr>
                <w:rFonts w:ascii="Times New Roman" w:hAnsi="Times New Roman"/>
                <w:color w:val="1E293B"/>
                <w:sz w:val="17"/>
              </w:rPr>
              <w:t>LightGBM Regressor</w:t>
            </w:r>
          </w:p>
        </w:tc>
        <w:tc>
          <w:tcPr>
            <w:tcW w:w="1440" w:type="dxa"/>
            <w:shd w:val="clear" w:color="auto" w:fill="FFFFFF"/>
            <w:tcMar>
              <w:top w:w="80" w:type="dxa"/>
              <w:left w:w="120" w:type="dxa"/>
              <w:bottom w:w="80" w:type="dxa"/>
              <w:right w:w="120" w:type="dxa"/>
            </w:tcMar>
          </w:tcPr>
          <w:p w14:paraId="624875F3" w14:textId="77777777" w:rsidR="00153A61" w:rsidRDefault="00402665">
            <w:pPr>
              <w:spacing w:after="0"/>
              <w:jc w:val="center"/>
            </w:pPr>
            <w:r>
              <w:rPr>
                <w:rFonts w:ascii="Times New Roman" w:hAnsi="Times New Roman"/>
                <w:color w:val="1E293B"/>
                <w:sz w:val="17"/>
              </w:rPr>
              <w:t>0.8140</w:t>
            </w:r>
          </w:p>
        </w:tc>
        <w:tc>
          <w:tcPr>
            <w:tcW w:w="1440" w:type="dxa"/>
            <w:shd w:val="clear" w:color="auto" w:fill="FFFFFF"/>
            <w:tcMar>
              <w:top w:w="80" w:type="dxa"/>
              <w:left w:w="120" w:type="dxa"/>
              <w:bottom w:w="80" w:type="dxa"/>
              <w:right w:w="120" w:type="dxa"/>
            </w:tcMar>
          </w:tcPr>
          <w:p w14:paraId="10E1E3EA" w14:textId="77777777" w:rsidR="00153A61" w:rsidRDefault="00402665">
            <w:pPr>
              <w:spacing w:after="0"/>
              <w:jc w:val="center"/>
            </w:pPr>
            <w:r>
              <w:rPr>
                <w:rFonts w:ascii="Times New Roman" w:hAnsi="Times New Roman"/>
                <w:color w:val="1E293B"/>
                <w:sz w:val="17"/>
              </w:rPr>
              <w:t>20.047</w:t>
            </w:r>
          </w:p>
        </w:tc>
        <w:tc>
          <w:tcPr>
            <w:tcW w:w="1440" w:type="dxa"/>
            <w:shd w:val="clear" w:color="auto" w:fill="FFFFFF"/>
            <w:tcMar>
              <w:top w:w="80" w:type="dxa"/>
              <w:left w:w="120" w:type="dxa"/>
              <w:bottom w:w="80" w:type="dxa"/>
              <w:right w:w="120" w:type="dxa"/>
            </w:tcMar>
          </w:tcPr>
          <w:p w14:paraId="44F14C6B" w14:textId="77777777" w:rsidR="00153A61" w:rsidRDefault="00402665">
            <w:pPr>
              <w:spacing w:after="0"/>
              <w:jc w:val="center"/>
            </w:pPr>
            <w:r>
              <w:rPr>
                <w:rFonts w:ascii="Times New Roman" w:hAnsi="Times New Roman"/>
                <w:color w:val="1E293B"/>
                <w:sz w:val="17"/>
              </w:rPr>
              <w:t>14.035</w:t>
            </w:r>
          </w:p>
        </w:tc>
      </w:tr>
      <w:tr w:rsidR="00153A61" w14:paraId="578CD291" w14:textId="77777777">
        <w:trPr>
          <w:jc w:val="center"/>
        </w:trPr>
        <w:tc>
          <w:tcPr>
            <w:tcW w:w="2592" w:type="dxa"/>
            <w:shd w:val="clear" w:color="auto" w:fill="F8FAFC"/>
            <w:tcMar>
              <w:top w:w="80" w:type="dxa"/>
              <w:left w:w="120" w:type="dxa"/>
              <w:bottom w:w="80" w:type="dxa"/>
              <w:right w:w="120" w:type="dxa"/>
            </w:tcMar>
          </w:tcPr>
          <w:p w14:paraId="37D44886" w14:textId="77777777" w:rsidR="00153A61" w:rsidRDefault="00402665">
            <w:pPr>
              <w:spacing w:after="0"/>
            </w:pPr>
            <w:r>
              <w:rPr>
                <w:rFonts w:ascii="Times New Roman" w:hAnsi="Times New Roman"/>
                <w:b/>
                <w:color w:val="1E293B"/>
                <w:sz w:val="17"/>
              </w:rPr>
              <w:t>Sulfur Dioxide (SO2)</w:t>
            </w:r>
          </w:p>
        </w:tc>
        <w:tc>
          <w:tcPr>
            <w:tcW w:w="3168" w:type="dxa"/>
            <w:shd w:val="clear" w:color="auto" w:fill="F8FAFC"/>
            <w:tcMar>
              <w:top w:w="80" w:type="dxa"/>
              <w:left w:w="120" w:type="dxa"/>
              <w:bottom w:w="80" w:type="dxa"/>
              <w:right w:w="120" w:type="dxa"/>
            </w:tcMar>
          </w:tcPr>
          <w:p w14:paraId="65EF12EC" w14:textId="77777777" w:rsidR="00153A61" w:rsidRDefault="00402665">
            <w:pPr>
              <w:spacing w:after="0"/>
              <w:jc w:val="center"/>
            </w:pPr>
            <w:r>
              <w:rPr>
                <w:rFonts w:ascii="Times New Roman" w:hAnsi="Times New Roman"/>
                <w:color w:val="1E293B"/>
                <w:sz w:val="17"/>
              </w:rPr>
              <w:t>Ridge Regression (Alpha=1)</w:t>
            </w:r>
          </w:p>
        </w:tc>
        <w:tc>
          <w:tcPr>
            <w:tcW w:w="1440" w:type="dxa"/>
            <w:shd w:val="clear" w:color="auto" w:fill="F8FAFC"/>
            <w:tcMar>
              <w:top w:w="80" w:type="dxa"/>
              <w:left w:w="120" w:type="dxa"/>
              <w:bottom w:w="80" w:type="dxa"/>
              <w:right w:w="120" w:type="dxa"/>
            </w:tcMar>
          </w:tcPr>
          <w:p w14:paraId="1FB5C433" w14:textId="77777777" w:rsidR="00153A61" w:rsidRDefault="00402665">
            <w:pPr>
              <w:spacing w:after="0"/>
              <w:jc w:val="center"/>
            </w:pPr>
            <w:r>
              <w:rPr>
                <w:rFonts w:ascii="Times New Roman" w:hAnsi="Times New Roman"/>
                <w:color w:val="1E293B"/>
                <w:sz w:val="17"/>
              </w:rPr>
              <w:t>0.6879</w:t>
            </w:r>
          </w:p>
        </w:tc>
        <w:tc>
          <w:tcPr>
            <w:tcW w:w="1440" w:type="dxa"/>
            <w:shd w:val="clear" w:color="auto" w:fill="F8FAFC"/>
            <w:tcMar>
              <w:top w:w="80" w:type="dxa"/>
              <w:left w:w="120" w:type="dxa"/>
              <w:bottom w:w="80" w:type="dxa"/>
              <w:right w:w="120" w:type="dxa"/>
            </w:tcMar>
          </w:tcPr>
          <w:p w14:paraId="1B34918D" w14:textId="77777777" w:rsidR="00153A61" w:rsidRDefault="00402665">
            <w:pPr>
              <w:spacing w:after="0"/>
              <w:jc w:val="center"/>
            </w:pPr>
            <w:r>
              <w:rPr>
                <w:rFonts w:ascii="Times New Roman" w:hAnsi="Times New Roman"/>
                <w:color w:val="1E293B"/>
                <w:sz w:val="17"/>
              </w:rPr>
              <w:t>11.565</w:t>
            </w:r>
          </w:p>
        </w:tc>
        <w:tc>
          <w:tcPr>
            <w:tcW w:w="1440" w:type="dxa"/>
            <w:shd w:val="clear" w:color="auto" w:fill="F8FAFC"/>
            <w:tcMar>
              <w:top w:w="80" w:type="dxa"/>
              <w:left w:w="120" w:type="dxa"/>
              <w:bottom w:w="80" w:type="dxa"/>
              <w:right w:w="120" w:type="dxa"/>
            </w:tcMar>
          </w:tcPr>
          <w:p w14:paraId="4AC08A77" w14:textId="77777777" w:rsidR="00153A61" w:rsidRDefault="00402665">
            <w:pPr>
              <w:spacing w:after="0"/>
              <w:jc w:val="center"/>
            </w:pPr>
            <w:r>
              <w:rPr>
                <w:rFonts w:ascii="Times New Roman" w:hAnsi="Times New Roman"/>
                <w:color w:val="1E293B"/>
                <w:sz w:val="17"/>
              </w:rPr>
              <w:t>6.126</w:t>
            </w:r>
          </w:p>
        </w:tc>
      </w:tr>
      <w:tr w:rsidR="00153A61" w14:paraId="366DF5F7" w14:textId="77777777">
        <w:trPr>
          <w:jc w:val="center"/>
        </w:trPr>
        <w:tc>
          <w:tcPr>
            <w:tcW w:w="2592" w:type="dxa"/>
            <w:shd w:val="clear" w:color="auto" w:fill="FFFFFF"/>
            <w:tcMar>
              <w:top w:w="80" w:type="dxa"/>
              <w:left w:w="120" w:type="dxa"/>
              <w:bottom w:w="80" w:type="dxa"/>
              <w:right w:w="120" w:type="dxa"/>
            </w:tcMar>
          </w:tcPr>
          <w:p w14:paraId="5076EEA0" w14:textId="77777777" w:rsidR="00153A61" w:rsidRDefault="00402665">
            <w:pPr>
              <w:spacing w:after="0"/>
            </w:pPr>
            <w:r>
              <w:rPr>
                <w:rFonts w:ascii="Times New Roman" w:hAnsi="Times New Roman"/>
                <w:b/>
                <w:color w:val="1E293B"/>
                <w:sz w:val="17"/>
              </w:rPr>
              <w:t>Ozone (O3)</w:t>
            </w:r>
          </w:p>
        </w:tc>
        <w:tc>
          <w:tcPr>
            <w:tcW w:w="3168" w:type="dxa"/>
            <w:shd w:val="clear" w:color="auto" w:fill="FFFFFF"/>
            <w:tcMar>
              <w:top w:w="80" w:type="dxa"/>
              <w:left w:w="120" w:type="dxa"/>
              <w:bottom w:w="80" w:type="dxa"/>
              <w:right w:w="120" w:type="dxa"/>
            </w:tcMar>
          </w:tcPr>
          <w:p w14:paraId="7DAD43D1" w14:textId="77777777" w:rsidR="00153A61" w:rsidRDefault="00402665">
            <w:pPr>
              <w:spacing w:after="0"/>
              <w:jc w:val="center"/>
            </w:pPr>
            <w:r>
              <w:rPr>
                <w:rFonts w:ascii="Times New Roman" w:hAnsi="Times New Roman"/>
                <w:color w:val="1E293B"/>
                <w:sz w:val="17"/>
              </w:rPr>
              <w:t>Ridge Regression (Alpha=1)</w:t>
            </w:r>
          </w:p>
        </w:tc>
        <w:tc>
          <w:tcPr>
            <w:tcW w:w="1440" w:type="dxa"/>
            <w:shd w:val="clear" w:color="auto" w:fill="FFFFFF"/>
            <w:tcMar>
              <w:top w:w="80" w:type="dxa"/>
              <w:left w:w="120" w:type="dxa"/>
              <w:bottom w:w="80" w:type="dxa"/>
              <w:right w:w="120" w:type="dxa"/>
            </w:tcMar>
          </w:tcPr>
          <w:p w14:paraId="7B0FA501" w14:textId="77777777" w:rsidR="00153A61" w:rsidRDefault="00402665">
            <w:pPr>
              <w:spacing w:after="0"/>
              <w:jc w:val="center"/>
            </w:pPr>
            <w:r>
              <w:rPr>
                <w:rFonts w:ascii="Times New Roman" w:hAnsi="Times New Roman"/>
                <w:color w:val="1E293B"/>
                <w:sz w:val="17"/>
              </w:rPr>
              <w:t>0.5068</w:t>
            </w:r>
          </w:p>
        </w:tc>
        <w:tc>
          <w:tcPr>
            <w:tcW w:w="1440" w:type="dxa"/>
            <w:shd w:val="clear" w:color="auto" w:fill="FFFFFF"/>
            <w:tcMar>
              <w:top w:w="80" w:type="dxa"/>
              <w:left w:w="120" w:type="dxa"/>
              <w:bottom w:w="80" w:type="dxa"/>
              <w:right w:w="120" w:type="dxa"/>
            </w:tcMar>
          </w:tcPr>
          <w:p w14:paraId="223A0FC6" w14:textId="77777777" w:rsidR="00153A61" w:rsidRDefault="00402665">
            <w:pPr>
              <w:spacing w:after="0"/>
              <w:jc w:val="center"/>
            </w:pPr>
            <w:r>
              <w:rPr>
                <w:rFonts w:ascii="Times New Roman" w:hAnsi="Times New Roman"/>
                <w:color w:val="1E293B"/>
                <w:sz w:val="17"/>
              </w:rPr>
              <w:t>8.730</w:t>
            </w:r>
          </w:p>
        </w:tc>
        <w:tc>
          <w:tcPr>
            <w:tcW w:w="1440" w:type="dxa"/>
            <w:shd w:val="clear" w:color="auto" w:fill="FFFFFF"/>
            <w:tcMar>
              <w:top w:w="80" w:type="dxa"/>
              <w:left w:w="120" w:type="dxa"/>
              <w:bottom w:w="80" w:type="dxa"/>
              <w:right w:w="120" w:type="dxa"/>
            </w:tcMar>
          </w:tcPr>
          <w:p w14:paraId="287BF4E0" w14:textId="77777777" w:rsidR="00153A61" w:rsidRDefault="00402665">
            <w:pPr>
              <w:spacing w:after="0"/>
              <w:jc w:val="center"/>
            </w:pPr>
            <w:r>
              <w:rPr>
                <w:rFonts w:ascii="Times New Roman" w:hAnsi="Times New Roman"/>
                <w:color w:val="1E293B"/>
                <w:sz w:val="17"/>
              </w:rPr>
              <w:t>5.048</w:t>
            </w:r>
          </w:p>
        </w:tc>
      </w:tr>
    </w:tbl>
    <w:p w14:paraId="3381CE3C" w14:textId="77777777" w:rsidR="00153A61" w:rsidRDefault="00402665">
      <w:pPr>
        <w:keepNext/>
        <w:spacing w:before="200" w:after="60"/>
      </w:pPr>
      <w:r>
        <w:rPr>
          <w:rFonts w:ascii="Times New Roman" w:hAnsi="Times New Roman"/>
          <w:b/>
          <w:i/>
          <w:color w:val="1E293B"/>
          <w:sz w:val="20"/>
        </w:rPr>
        <w:t>D. Toxic Episode Risk Classification Performance</w:t>
      </w:r>
    </w:p>
    <w:p w14:paraId="15D1B4E8" w14:textId="77777777" w:rsidR="00153A61" w:rsidRDefault="00402665">
      <w:pPr>
        <w:spacing w:after="100"/>
        <w:jc w:val="both"/>
      </w:pPr>
      <w:r>
        <w:rPr>
          <w:rFonts w:ascii="Times New Roman" w:hAnsi="Times New Roman"/>
          <w:color w:val="1E293B"/>
          <w:sz w:val="20"/>
        </w:rPr>
        <w:t>Table IV outlines classification metrics in detecting impending acute toxic episodes (target_toxic_alert).</w:t>
      </w:r>
    </w:p>
    <w:p w14:paraId="2915EB58" w14:textId="77777777" w:rsidR="00153A61" w:rsidRDefault="00402665">
      <w:pPr>
        <w:spacing w:before="160" w:after="40"/>
        <w:jc w:val="center"/>
      </w:pPr>
      <w:r>
        <w:rPr>
          <w:rFonts w:ascii="Times New Roman" w:hAnsi="Times New Roman"/>
          <w:b/>
          <w:sz w:val="17"/>
        </w:rPr>
        <w:t>TABLE IV. TOXIC EPISODE RISK CLASSIFICATION PERFORMANCE</w:t>
      </w:r>
    </w:p>
    <w:tbl>
      <w:tblPr>
        <w:tblW w:w="0" w:type="auto"/>
        <w:jc w:val="center"/>
        <w:tblBorders>
          <w:top w:val="single" w:sz="8" w:space="0" w:color="0F172A"/>
          <w:bottom w:val="single" w:sz="8" w:space="0" w:color="0F172A"/>
          <w:insideH w:val="single" w:sz="4" w:space="0" w:color="E2E8F0"/>
        </w:tblBorders>
        <w:tblLook w:val="04A0" w:firstRow="1" w:lastRow="0" w:firstColumn="1" w:lastColumn="0" w:noHBand="0" w:noVBand="1"/>
      </w:tblPr>
      <w:tblGrid>
        <w:gridCol w:w="1004"/>
        <w:gridCol w:w="934"/>
        <w:gridCol w:w="915"/>
        <w:gridCol w:w="697"/>
        <w:gridCol w:w="685"/>
        <w:gridCol w:w="685"/>
      </w:tblGrid>
      <w:tr w:rsidR="00153A61" w14:paraId="67489253" w14:textId="77777777">
        <w:trPr>
          <w:tblHeader/>
          <w:jc w:val="center"/>
        </w:trPr>
        <w:tc>
          <w:tcPr>
            <w:tcW w:w="2880" w:type="dxa"/>
            <w:shd w:val="clear" w:color="auto" w:fill="0F172A"/>
            <w:tcMar>
              <w:top w:w="120" w:type="dxa"/>
              <w:left w:w="120" w:type="dxa"/>
              <w:bottom w:w="120" w:type="dxa"/>
              <w:right w:w="120" w:type="dxa"/>
            </w:tcMar>
          </w:tcPr>
          <w:p w14:paraId="48F25840" w14:textId="77777777" w:rsidR="00153A61" w:rsidRDefault="00402665">
            <w:pPr>
              <w:spacing w:after="0"/>
            </w:pPr>
            <w:r>
              <w:rPr>
                <w:rFonts w:ascii="Times New Roman" w:hAnsi="Times New Roman"/>
                <w:b/>
                <w:color w:val="FFFFFF"/>
                <w:sz w:val="18"/>
              </w:rPr>
              <w:t>Model Algorithm</w:t>
            </w:r>
          </w:p>
        </w:tc>
        <w:tc>
          <w:tcPr>
            <w:tcW w:w="1440" w:type="dxa"/>
            <w:shd w:val="clear" w:color="auto" w:fill="0F172A"/>
            <w:tcMar>
              <w:top w:w="120" w:type="dxa"/>
              <w:left w:w="120" w:type="dxa"/>
              <w:bottom w:w="120" w:type="dxa"/>
              <w:right w:w="120" w:type="dxa"/>
            </w:tcMar>
          </w:tcPr>
          <w:p w14:paraId="14305B74" w14:textId="77777777" w:rsidR="00153A61" w:rsidRDefault="00402665">
            <w:pPr>
              <w:spacing w:after="0"/>
              <w:jc w:val="center"/>
            </w:pPr>
            <w:r>
              <w:rPr>
                <w:rFonts w:ascii="Times New Roman" w:hAnsi="Times New Roman"/>
                <w:b/>
                <w:color w:val="FFFFFF"/>
                <w:sz w:val="18"/>
              </w:rPr>
              <w:t>Accuracy</w:t>
            </w:r>
          </w:p>
        </w:tc>
        <w:tc>
          <w:tcPr>
            <w:tcW w:w="1440" w:type="dxa"/>
            <w:shd w:val="clear" w:color="auto" w:fill="0F172A"/>
            <w:tcMar>
              <w:top w:w="120" w:type="dxa"/>
              <w:left w:w="120" w:type="dxa"/>
              <w:bottom w:w="120" w:type="dxa"/>
              <w:right w:w="120" w:type="dxa"/>
            </w:tcMar>
          </w:tcPr>
          <w:p w14:paraId="1E314091" w14:textId="77777777" w:rsidR="00153A61" w:rsidRDefault="00402665">
            <w:pPr>
              <w:spacing w:after="0"/>
              <w:jc w:val="center"/>
            </w:pPr>
            <w:r>
              <w:rPr>
                <w:rFonts w:ascii="Times New Roman" w:hAnsi="Times New Roman"/>
                <w:b/>
                <w:color w:val="FFFFFF"/>
                <w:sz w:val="18"/>
              </w:rPr>
              <w:t>Precision</w:t>
            </w:r>
          </w:p>
        </w:tc>
        <w:tc>
          <w:tcPr>
            <w:tcW w:w="1440" w:type="dxa"/>
            <w:shd w:val="clear" w:color="auto" w:fill="0F172A"/>
            <w:tcMar>
              <w:top w:w="120" w:type="dxa"/>
              <w:left w:w="120" w:type="dxa"/>
              <w:bottom w:w="120" w:type="dxa"/>
              <w:right w:w="120" w:type="dxa"/>
            </w:tcMar>
          </w:tcPr>
          <w:p w14:paraId="6286C2D4" w14:textId="77777777" w:rsidR="00153A61" w:rsidRDefault="00402665">
            <w:pPr>
              <w:spacing w:after="0"/>
              <w:jc w:val="center"/>
            </w:pPr>
            <w:r>
              <w:rPr>
                <w:rFonts w:ascii="Times New Roman" w:hAnsi="Times New Roman"/>
                <w:b/>
                <w:color w:val="FFFFFF"/>
                <w:sz w:val="18"/>
              </w:rPr>
              <w:t>Recall</w:t>
            </w:r>
          </w:p>
        </w:tc>
        <w:tc>
          <w:tcPr>
            <w:tcW w:w="1440" w:type="dxa"/>
            <w:shd w:val="clear" w:color="auto" w:fill="0F172A"/>
            <w:tcMar>
              <w:top w:w="120" w:type="dxa"/>
              <w:left w:w="120" w:type="dxa"/>
              <w:bottom w:w="120" w:type="dxa"/>
              <w:right w:w="120" w:type="dxa"/>
            </w:tcMar>
          </w:tcPr>
          <w:p w14:paraId="66ED3C25" w14:textId="77777777" w:rsidR="00153A61" w:rsidRDefault="00402665">
            <w:pPr>
              <w:spacing w:after="0"/>
              <w:jc w:val="center"/>
            </w:pPr>
            <w:r>
              <w:rPr>
                <w:rFonts w:ascii="Times New Roman" w:hAnsi="Times New Roman"/>
                <w:b/>
                <w:color w:val="FFFFFF"/>
                <w:sz w:val="18"/>
              </w:rPr>
              <w:t>F1 Score</w:t>
            </w:r>
          </w:p>
        </w:tc>
        <w:tc>
          <w:tcPr>
            <w:tcW w:w="1440" w:type="dxa"/>
            <w:shd w:val="clear" w:color="auto" w:fill="0F172A"/>
            <w:tcMar>
              <w:top w:w="120" w:type="dxa"/>
              <w:left w:w="120" w:type="dxa"/>
              <w:bottom w:w="120" w:type="dxa"/>
              <w:right w:w="120" w:type="dxa"/>
            </w:tcMar>
          </w:tcPr>
          <w:p w14:paraId="36293E52" w14:textId="77777777" w:rsidR="00153A61" w:rsidRDefault="00402665">
            <w:pPr>
              <w:spacing w:after="0"/>
              <w:jc w:val="center"/>
            </w:pPr>
            <w:r>
              <w:rPr>
                <w:rFonts w:ascii="Times New Roman" w:hAnsi="Times New Roman"/>
                <w:b/>
                <w:color w:val="FFFFFF"/>
                <w:sz w:val="18"/>
              </w:rPr>
              <w:t>ROC-AUC</w:t>
            </w:r>
          </w:p>
        </w:tc>
      </w:tr>
      <w:tr w:rsidR="00153A61" w14:paraId="28B3B388" w14:textId="77777777">
        <w:trPr>
          <w:jc w:val="center"/>
        </w:trPr>
        <w:tc>
          <w:tcPr>
            <w:tcW w:w="2880" w:type="dxa"/>
            <w:shd w:val="clear" w:color="auto" w:fill="FFFFFF"/>
            <w:tcMar>
              <w:top w:w="80" w:type="dxa"/>
              <w:left w:w="120" w:type="dxa"/>
              <w:bottom w:w="80" w:type="dxa"/>
              <w:right w:w="120" w:type="dxa"/>
            </w:tcMar>
          </w:tcPr>
          <w:p w14:paraId="66225F61" w14:textId="77777777" w:rsidR="00153A61" w:rsidRDefault="00402665">
            <w:pPr>
              <w:spacing w:after="0"/>
            </w:pPr>
            <w:r>
              <w:rPr>
                <w:rFonts w:ascii="Times New Roman" w:hAnsi="Times New Roman"/>
                <w:b/>
                <w:color w:val="1E293B"/>
                <w:sz w:val="17"/>
              </w:rPr>
              <w:t>Random Forest Classifier</w:t>
            </w:r>
          </w:p>
        </w:tc>
        <w:tc>
          <w:tcPr>
            <w:tcW w:w="1440" w:type="dxa"/>
            <w:shd w:val="clear" w:color="auto" w:fill="FFFFFF"/>
            <w:tcMar>
              <w:top w:w="80" w:type="dxa"/>
              <w:left w:w="120" w:type="dxa"/>
              <w:bottom w:w="80" w:type="dxa"/>
              <w:right w:w="120" w:type="dxa"/>
            </w:tcMar>
          </w:tcPr>
          <w:p w14:paraId="4FB1F54A" w14:textId="77777777" w:rsidR="00153A61" w:rsidRDefault="00402665">
            <w:pPr>
              <w:spacing w:after="0"/>
              <w:jc w:val="center"/>
            </w:pPr>
            <w:r>
              <w:rPr>
                <w:rFonts w:ascii="Times New Roman" w:hAnsi="Times New Roman"/>
                <w:color w:val="1E293B"/>
                <w:sz w:val="17"/>
              </w:rPr>
              <w:t>0.9997</w:t>
            </w:r>
          </w:p>
        </w:tc>
        <w:tc>
          <w:tcPr>
            <w:tcW w:w="1440" w:type="dxa"/>
            <w:shd w:val="clear" w:color="auto" w:fill="FFFFFF"/>
            <w:tcMar>
              <w:top w:w="80" w:type="dxa"/>
              <w:left w:w="120" w:type="dxa"/>
              <w:bottom w:w="80" w:type="dxa"/>
              <w:right w:w="120" w:type="dxa"/>
            </w:tcMar>
          </w:tcPr>
          <w:p w14:paraId="791BE4AE" w14:textId="77777777" w:rsidR="00153A61" w:rsidRDefault="00402665">
            <w:pPr>
              <w:spacing w:after="0"/>
              <w:jc w:val="center"/>
            </w:pPr>
            <w:r>
              <w:rPr>
                <w:rFonts w:ascii="Times New Roman" w:hAnsi="Times New Roman"/>
                <w:color w:val="1E293B"/>
                <w:sz w:val="17"/>
              </w:rPr>
              <w:t>0.9990</w:t>
            </w:r>
          </w:p>
        </w:tc>
        <w:tc>
          <w:tcPr>
            <w:tcW w:w="1440" w:type="dxa"/>
            <w:shd w:val="clear" w:color="auto" w:fill="FFFFFF"/>
            <w:tcMar>
              <w:top w:w="80" w:type="dxa"/>
              <w:left w:w="120" w:type="dxa"/>
              <w:bottom w:w="80" w:type="dxa"/>
              <w:right w:w="120" w:type="dxa"/>
            </w:tcMar>
          </w:tcPr>
          <w:p w14:paraId="3E20EE62" w14:textId="77777777" w:rsidR="00153A61" w:rsidRDefault="00402665">
            <w:pPr>
              <w:spacing w:after="0"/>
              <w:jc w:val="center"/>
            </w:pPr>
            <w:r>
              <w:rPr>
                <w:rFonts w:ascii="Times New Roman" w:hAnsi="Times New Roman"/>
                <w:color w:val="1E293B"/>
                <w:sz w:val="17"/>
              </w:rPr>
              <w:t>1.0000</w:t>
            </w:r>
          </w:p>
        </w:tc>
        <w:tc>
          <w:tcPr>
            <w:tcW w:w="1440" w:type="dxa"/>
            <w:shd w:val="clear" w:color="auto" w:fill="FFFFFF"/>
            <w:tcMar>
              <w:top w:w="80" w:type="dxa"/>
              <w:left w:w="120" w:type="dxa"/>
              <w:bottom w:w="80" w:type="dxa"/>
              <w:right w:w="120" w:type="dxa"/>
            </w:tcMar>
          </w:tcPr>
          <w:p w14:paraId="1065F328" w14:textId="77777777" w:rsidR="00153A61" w:rsidRDefault="00402665">
            <w:pPr>
              <w:spacing w:after="0"/>
              <w:jc w:val="center"/>
            </w:pPr>
            <w:r>
              <w:rPr>
                <w:rFonts w:ascii="Times New Roman" w:hAnsi="Times New Roman"/>
                <w:b/>
                <w:color w:val="1E293B"/>
                <w:sz w:val="17"/>
              </w:rPr>
              <w:t>0.9995</w:t>
            </w:r>
          </w:p>
        </w:tc>
        <w:tc>
          <w:tcPr>
            <w:tcW w:w="1440" w:type="dxa"/>
            <w:shd w:val="clear" w:color="auto" w:fill="FFFFFF"/>
            <w:tcMar>
              <w:top w:w="80" w:type="dxa"/>
              <w:left w:w="120" w:type="dxa"/>
              <w:bottom w:w="80" w:type="dxa"/>
              <w:right w:w="120" w:type="dxa"/>
            </w:tcMar>
          </w:tcPr>
          <w:p w14:paraId="322DF8EF" w14:textId="77777777" w:rsidR="00153A61" w:rsidRDefault="00402665">
            <w:pPr>
              <w:spacing w:after="0"/>
              <w:jc w:val="center"/>
            </w:pPr>
            <w:r>
              <w:rPr>
                <w:rFonts w:ascii="Times New Roman" w:hAnsi="Times New Roman"/>
                <w:color w:val="1E293B"/>
                <w:sz w:val="17"/>
              </w:rPr>
              <w:t>1.0000</w:t>
            </w:r>
          </w:p>
        </w:tc>
      </w:tr>
      <w:tr w:rsidR="00153A61" w14:paraId="7E6328E1" w14:textId="77777777">
        <w:trPr>
          <w:jc w:val="center"/>
        </w:trPr>
        <w:tc>
          <w:tcPr>
            <w:tcW w:w="2880" w:type="dxa"/>
            <w:shd w:val="clear" w:color="auto" w:fill="F8FAFC"/>
            <w:tcMar>
              <w:top w:w="80" w:type="dxa"/>
              <w:left w:w="120" w:type="dxa"/>
              <w:bottom w:w="80" w:type="dxa"/>
              <w:right w:w="120" w:type="dxa"/>
            </w:tcMar>
          </w:tcPr>
          <w:p w14:paraId="10FB1F8F" w14:textId="77777777" w:rsidR="00153A61" w:rsidRDefault="00402665">
            <w:pPr>
              <w:spacing w:after="0"/>
            </w:pPr>
            <w:r>
              <w:rPr>
                <w:rFonts w:ascii="Times New Roman" w:hAnsi="Times New Roman"/>
                <w:b/>
                <w:color w:val="1E293B"/>
                <w:sz w:val="17"/>
              </w:rPr>
              <w:t>XGBoost Classifier</w:t>
            </w:r>
          </w:p>
        </w:tc>
        <w:tc>
          <w:tcPr>
            <w:tcW w:w="1440" w:type="dxa"/>
            <w:shd w:val="clear" w:color="auto" w:fill="F8FAFC"/>
            <w:tcMar>
              <w:top w:w="80" w:type="dxa"/>
              <w:left w:w="120" w:type="dxa"/>
              <w:bottom w:w="80" w:type="dxa"/>
              <w:right w:w="120" w:type="dxa"/>
            </w:tcMar>
          </w:tcPr>
          <w:p w14:paraId="0CF65871" w14:textId="77777777" w:rsidR="00153A61" w:rsidRDefault="00402665">
            <w:pPr>
              <w:spacing w:after="0"/>
              <w:jc w:val="center"/>
            </w:pPr>
            <w:r>
              <w:rPr>
                <w:rFonts w:ascii="Times New Roman" w:hAnsi="Times New Roman"/>
                <w:color w:val="1E293B"/>
                <w:sz w:val="17"/>
              </w:rPr>
              <w:t>0.9989</w:t>
            </w:r>
          </w:p>
        </w:tc>
        <w:tc>
          <w:tcPr>
            <w:tcW w:w="1440" w:type="dxa"/>
            <w:shd w:val="clear" w:color="auto" w:fill="F8FAFC"/>
            <w:tcMar>
              <w:top w:w="80" w:type="dxa"/>
              <w:left w:w="120" w:type="dxa"/>
              <w:bottom w:w="80" w:type="dxa"/>
              <w:right w:w="120" w:type="dxa"/>
            </w:tcMar>
          </w:tcPr>
          <w:p w14:paraId="61AB8FF6" w14:textId="77777777" w:rsidR="00153A61" w:rsidRDefault="00402665">
            <w:pPr>
              <w:spacing w:after="0"/>
              <w:jc w:val="center"/>
            </w:pPr>
            <w:r>
              <w:rPr>
                <w:rFonts w:ascii="Times New Roman" w:hAnsi="Times New Roman"/>
                <w:color w:val="1E293B"/>
                <w:sz w:val="17"/>
              </w:rPr>
              <w:t>0.9966</w:t>
            </w:r>
          </w:p>
        </w:tc>
        <w:tc>
          <w:tcPr>
            <w:tcW w:w="1440" w:type="dxa"/>
            <w:shd w:val="clear" w:color="auto" w:fill="F8FAFC"/>
            <w:tcMar>
              <w:top w:w="80" w:type="dxa"/>
              <w:left w:w="120" w:type="dxa"/>
              <w:bottom w:w="80" w:type="dxa"/>
              <w:right w:w="120" w:type="dxa"/>
            </w:tcMar>
          </w:tcPr>
          <w:p w14:paraId="0DBEB0F4" w14:textId="77777777" w:rsidR="00153A61" w:rsidRDefault="00402665">
            <w:pPr>
              <w:spacing w:after="0"/>
              <w:jc w:val="center"/>
            </w:pPr>
            <w:r>
              <w:rPr>
                <w:rFonts w:ascii="Times New Roman" w:hAnsi="Times New Roman"/>
                <w:b/>
                <w:color w:val="1E293B"/>
                <w:sz w:val="17"/>
              </w:rPr>
              <w:t>0.9995</w:t>
            </w:r>
          </w:p>
        </w:tc>
        <w:tc>
          <w:tcPr>
            <w:tcW w:w="1440" w:type="dxa"/>
            <w:shd w:val="clear" w:color="auto" w:fill="F8FAFC"/>
            <w:tcMar>
              <w:top w:w="80" w:type="dxa"/>
              <w:left w:w="120" w:type="dxa"/>
              <w:bottom w:w="80" w:type="dxa"/>
              <w:right w:w="120" w:type="dxa"/>
            </w:tcMar>
          </w:tcPr>
          <w:p w14:paraId="67973949" w14:textId="77777777" w:rsidR="00153A61" w:rsidRDefault="00402665">
            <w:pPr>
              <w:spacing w:after="0"/>
              <w:jc w:val="center"/>
            </w:pPr>
            <w:r>
              <w:rPr>
                <w:rFonts w:ascii="Times New Roman" w:hAnsi="Times New Roman"/>
                <w:color w:val="1E293B"/>
                <w:sz w:val="17"/>
              </w:rPr>
              <w:t>0.9981</w:t>
            </w:r>
          </w:p>
        </w:tc>
        <w:tc>
          <w:tcPr>
            <w:tcW w:w="1440" w:type="dxa"/>
            <w:shd w:val="clear" w:color="auto" w:fill="F8FAFC"/>
            <w:tcMar>
              <w:top w:w="80" w:type="dxa"/>
              <w:left w:w="120" w:type="dxa"/>
              <w:bottom w:w="80" w:type="dxa"/>
              <w:right w:w="120" w:type="dxa"/>
            </w:tcMar>
          </w:tcPr>
          <w:p w14:paraId="2F7D8BA6" w14:textId="77777777" w:rsidR="00153A61" w:rsidRDefault="00402665">
            <w:pPr>
              <w:spacing w:after="0"/>
              <w:jc w:val="center"/>
            </w:pPr>
            <w:r>
              <w:rPr>
                <w:rFonts w:ascii="Times New Roman" w:hAnsi="Times New Roman"/>
                <w:color w:val="1E293B"/>
                <w:sz w:val="17"/>
              </w:rPr>
              <w:t>1.0000</w:t>
            </w:r>
          </w:p>
        </w:tc>
      </w:tr>
      <w:tr w:rsidR="00153A61" w14:paraId="7E52F708" w14:textId="77777777">
        <w:trPr>
          <w:jc w:val="center"/>
        </w:trPr>
        <w:tc>
          <w:tcPr>
            <w:tcW w:w="2880" w:type="dxa"/>
            <w:shd w:val="clear" w:color="auto" w:fill="FFFFFF"/>
            <w:tcMar>
              <w:top w:w="80" w:type="dxa"/>
              <w:left w:w="120" w:type="dxa"/>
              <w:bottom w:w="80" w:type="dxa"/>
              <w:right w:w="120" w:type="dxa"/>
            </w:tcMar>
          </w:tcPr>
          <w:p w14:paraId="3D244E2D" w14:textId="77777777" w:rsidR="00153A61" w:rsidRDefault="00402665">
            <w:pPr>
              <w:spacing w:after="0"/>
            </w:pPr>
            <w:r>
              <w:rPr>
                <w:rFonts w:ascii="Times New Roman" w:hAnsi="Times New Roman"/>
                <w:b/>
                <w:color w:val="1E293B"/>
                <w:sz w:val="17"/>
              </w:rPr>
              <w:t>LightGBM Classifier</w:t>
            </w:r>
          </w:p>
        </w:tc>
        <w:tc>
          <w:tcPr>
            <w:tcW w:w="1440" w:type="dxa"/>
            <w:shd w:val="clear" w:color="auto" w:fill="FFFFFF"/>
            <w:tcMar>
              <w:top w:w="80" w:type="dxa"/>
              <w:left w:w="120" w:type="dxa"/>
              <w:bottom w:w="80" w:type="dxa"/>
              <w:right w:w="120" w:type="dxa"/>
            </w:tcMar>
          </w:tcPr>
          <w:p w14:paraId="34D7F9BA" w14:textId="77777777" w:rsidR="00153A61" w:rsidRDefault="00402665">
            <w:pPr>
              <w:spacing w:after="0"/>
              <w:jc w:val="center"/>
            </w:pPr>
            <w:r>
              <w:rPr>
                <w:rFonts w:ascii="Times New Roman" w:hAnsi="Times New Roman"/>
                <w:color w:val="1E293B"/>
                <w:sz w:val="17"/>
              </w:rPr>
              <w:t>0.9981</w:t>
            </w:r>
          </w:p>
        </w:tc>
        <w:tc>
          <w:tcPr>
            <w:tcW w:w="1440" w:type="dxa"/>
            <w:shd w:val="clear" w:color="auto" w:fill="FFFFFF"/>
            <w:tcMar>
              <w:top w:w="80" w:type="dxa"/>
              <w:left w:w="120" w:type="dxa"/>
              <w:bottom w:w="80" w:type="dxa"/>
              <w:right w:w="120" w:type="dxa"/>
            </w:tcMar>
          </w:tcPr>
          <w:p w14:paraId="5C942531" w14:textId="77777777" w:rsidR="00153A61" w:rsidRDefault="00402665">
            <w:pPr>
              <w:spacing w:after="0"/>
              <w:jc w:val="center"/>
            </w:pPr>
            <w:r>
              <w:rPr>
                <w:rFonts w:ascii="Times New Roman" w:hAnsi="Times New Roman"/>
                <w:color w:val="1E293B"/>
                <w:sz w:val="17"/>
              </w:rPr>
              <w:t>0.9976</w:t>
            </w:r>
          </w:p>
        </w:tc>
        <w:tc>
          <w:tcPr>
            <w:tcW w:w="1440" w:type="dxa"/>
            <w:shd w:val="clear" w:color="auto" w:fill="FFFFFF"/>
            <w:tcMar>
              <w:top w:w="80" w:type="dxa"/>
              <w:left w:w="120" w:type="dxa"/>
              <w:bottom w:w="80" w:type="dxa"/>
              <w:right w:w="120" w:type="dxa"/>
            </w:tcMar>
          </w:tcPr>
          <w:p w14:paraId="3A63B3B9" w14:textId="77777777" w:rsidR="00153A61" w:rsidRDefault="00402665">
            <w:pPr>
              <w:spacing w:after="0"/>
              <w:jc w:val="center"/>
            </w:pPr>
            <w:r>
              <w:rPr>
                <w:rFonts w:ascii="Times New Roman" w:hAnsi="Times New Roman"/>
                <w:color w:val="1E293B"/>
                <w:sz w:val="17"/>
              </w:rPr>
              <w:t>0.9961</w:t>
            </w:r>
          </w:p>
        </w:tc>
        <w:tc>
          <w:tcPr>
            <w:tcW w:w="1440" w:type="dxa"/>
            <w:shd w:val="clear" w:color="auto" w:fill="FFFFFF"/>
            <w:tcMar>
              <w:top w:w="80" w:type="dxa"/>
              <w:left w:w="120" w:type="dxa"/>
              <w:bottom w:w="80" w:type="dxa"/>
              <w:right w:w="120" w:type="dxa"/>
            </w:tcMar>
          </w:tcPr>
          <w:p w14:paraId="1DF2A1C4" w14:textId="77777777" w:rsidR="00153A61" w:rsidRDefault="00402665">
            <w:pPr>
              <w:spacing w:after="0"/>
              <w:jc w:val="center"/>
            </w:pPr>
            <w:r>
              <w:rPr>
                <w:rFonts w:ascii="Times New Roman" w:hAnsi="Times New Roman"/>
                <w:color w:val="1E293B"/>
                <w:sz w:val="17"/>
              </w:rPr>
              <w:t>0.9968</w:t>
            </w:r>
          </w:p>
        </w:tc>
        <w:tc>
          <w:tcPr>
            <w:tcW w:w="1440" w:type="dxa"/>
            <w:shd w:val="clear" w:color="auto" w:fill="FFFFFF"/>
            <w:tcMar>
              <w:top w:w="80" w:type="dxa"/>
              <w:left w:w="120" w:type="dxa"/>
              <w:bottom w:w="80" w:type="dxa"/>
              <w:right w:w="120" w:type="dxa"/>
            </w:tcMar>
          </w:tcPr>
          <w:p w14:paraId="0034A2B7" w14:textId="77777777" w:rsidR="00153A61" w:rsidRDefault="00402665">
            <w:pPr>
              <w:spacing w:after="0"/>
              <w:jc w:val="center"/>
            </w:pPr>
            <w:r>
              <w:rPr>
                <w:rFonts w:ascii="Times New Roman" w:hAnsi="Times New Roman"/>
                <w:color w:val="1E293B"/>
                <w:sz w:val="17"/>
              </w:rPr>
              <w:t>1.0000</w:t>
            </w:r>
          </w:p>
        </w:tc>
      </w:tr>
      <w:tr w:rsidR="00153A61" w14:paraId="2F166272" w14:textId="77777777">
        <w:trPr>
          <w:jc w:val="center"/>
        </w:trPr>
        <w:tc>
          <w:tcPr>
            <w:tcW w:w="2880" w:type="dxa"/>
            <w:shd w:val="clear" w:color="auto" w:fill="F8FAFC"/>
            <w:tcMar>
              <w:top w:w="80" w:type="dxa"/>
              <w:left w:w="120" w:type="dxa"/>
              <w:bottom w:w="80" w:type="dxa"/>
              <w:right w:w="120" w:type="dxa"/>
            </w:tcMar>
          </w:tcPr>
          <w:p w14:paraId="4FDBE2B8" w14:textId="77777777" w:rsidR="00153A61" w:rsidRDefault="00402665">
            <w:pPr>
              <w:spacing w:after="0"/>
            </w:pPr>
            <w:r>
              <w:rPr>
                <w:rFonts w:ascii="Times New Roman" w:hAnsi="Times New Roman"/>
                <w:b/>
                <w:color w:val="1E293B"/>
                <w:sz w:val="17"/>
              </w:rPr>
              <w:t xml:space="preserve">Logistic </w:t>
            </w:r>
            <w:r>
              <w:rPr>
                <w:rFonts w:ascii="Times New Roman" w:hAnsi="Times New Roman"/>
                <w:b/>
                <w:color w:val="1E293B"/>
                <w:sz w:val="17"/>
              </w:rPr>
              <w:t>Regression</w:t>
            </w:r>
          </w:p>
        </w:tc>
        <w:tc>
          <w:tcPr>
            <w:tcW w:w="1440" w:type="dxa"/>
            <w:shd w:val="clear" w:color="auto" w:fill="F8FAFC"/>
            <w:tcMar>
              <w:top w:w="80" w:type="dxa"/>
              <w:left w:w="120" w:type="dxa"/>
              <w:bottom w:w="80" w:type="dxa"/>
              <w:right w:w="120" w:type="dxa"/>
            </w:tcMar>
          </w:tcPr>
          <w:p w14:paraId="41959BF6" w14:textId="77777777" w:rsidR="00153A61" w:rsidRDefault="00402665">
            <w:pPr>
              <w:spacing w:after="0"/>
              <w:jc w:val="center"/>
            </w:pPr>
            <w:r>
              <w:rPr>
                <w:rFonts w:ascii="Times New Roman" w:hAnsi="Times New Roman"/>
                <w:color w:val="1E293B"/>
                <w:sz w:val="17"/>
              </w:rPr>
              <w:t>0.8584</w:t>
            </w:r>
          </w:p>
        </w:tc>
        <w:tc>
          <w:tcPr>
            <w:tcW w:w="1440" w:type="dxa"/>
            <w:shd w:val="clear" w:color="auto" w:fill="F8FAFC"/>
            <w:tcMar>
              <w:top w:w="80" w:type="dxa"/>
              <w:left w:w="120" w:type="dxa"/>
              <w:bottom w:w="80" w:type="dxa"/>
              <w:right w:w="120" w:type="dxa"/>
            </w:tcMar>
          </w:tcPr>
          <w:p w14:paraId="238D1485" w14:textId="77777777" w:rsidR="00153A61" w:rsidRDefault="00402665">
            <w:pPr>
              <w:spacing w:after="0"/>
              <w:jc w:val="center"/>
            </w:pPr>
            <w:r>
              <w:rPr>
                <w:rFonts w:ascii="Times New Roman" w:hAnsi="Times New Roman"/>
                <w:color w:val="1E293B"/>
                <w:sz w:val="17"/>
              </w:rPr>
              <w:t>0.6988</w:t>
            </w:r>
          </w:p>
        </w:tc>
        <w:tc>
          <w:tcPr>
            <w:tcW w:w="1440" w:type="dxa"/>
            <w:shd w:val="clear" w:color="auto" w:fill="F8FAFC"/>
            <w:tcMar>
              <w:top w:w="80" w:type="dxa"/>
              <w:left w:w="120" w:type="dxa"/>
              <w:bottom w:w="80" w:type="dxa"/>
              <w:right w:w="120" w:type="dxa"/>
            </w:tcMar>
          </w:tcPr>
          <w:p w14:paraId="7658F839" w14:textId="77777777" w:rsidR="00153A61" w:rsidRDefault="00402665">
            <w:pPr>
              <w:spacing w:after="0"/>
              <w:jc w:val="center"/>
            </w:pPr>
            <w:r>
              <w:rPr>
                <w:rFonts w:ascii="Times New Roman" w:hAnsi="Times New Roman"/>
                <w:color w:val="1E293B"/>
                <w:sz w:val="17"/>
              </w:rPr>
              <w:t>0.9115</w:t>
            </w:r>
          </w:p>
        </w:tc>
        <w:tc>
          <w:tcPr>
            <w:tcW w:w="1440" w:type="dxa"/>
            <w:shd w:val="clear" w:color="auto" w:fill="F8FAFC"/>
            <w:tcMar>
              <w:top w:w="80" w:type="dxa"/>
              <w:left w:w="120" w:type="dxa"/>
              <w:bottom w:w="80" w:type="dxa"/>
              <w:right w:w="120" w:type="dxa"/>
            </w:tcMar>
          </w:tcPr>
          <w:p w14:paraId="4E378E9A" w14:textId="77777777" w:rsidR="00153A61" w:rsidRDefault="00402665">
            <w:pPr>
              <w:spacing w:after="0"/>
              <w:jc w:val="center"/>
            </w:pPr>
            <w:r>
              <w:rPr>
                <w:rFonts w:ascii="Times New Roman" w:hAnsi="Times New Roman"/>
                <w:color w:val="1E293B"/>
                <w:sz w:val="17"/>
              </w:rPr>
              <w:t>0.7911</w:t>
            </w:r>
          </w:p>
        </w:tc>
        <w:tc>
          <w:tcPr>
            <w:tcW w:w="1440" w:type="dxa"/>
            <w:shd w:val="clear" w:color="auto" w:fill="F8FAFC"/>
            <w:tcMar>
              <w:top w:w="80" w:type="dxa"/>
              <w:left w:w="120" w:type="dxa"/>
              <w:bottom w:w="80" w:type="dxa"/>
              <w:right w:w="120" w:type="dxa"/>
            </w:tcMar>
          </w:tcPr>
          <w:p w14:paraId="4466995D" w14:textId="77777777" w:rsidR="00153A61" w:rsidRDefault="00402665">
            <w:pPr>
              <w:spacing w:after="0"/>
              <w:jc w:val="center"/>
            </w:pPr>
            <w:r>
              <w:rPr>
                <w:rFonts w:ascii="Times New Roman" w:hAnsi="Times New Roman"/>
                <w:color w:val="1E293B"/>
                <w:sz w:val="17"/>
              </w:rPr>
              <w:t>0.9657</w:t>
            </w:r>
          </w:p>
        </w:tc>
      </w:tr>
    </w:tbl>
    <w:p w14:paraId="08CB8B34" w14:textId="77777777" w:rsidR="00153A61" w:rsidRDefault="00402665">
      <w:pPr>
        <w:keepNext/>
        <w:spacing w:before="200" w:after="60"/>
      </w:pPr>
      <w:r>
        <w:rPr>
          <w:rFonts w:ascii="Times New Roman" w:hAnsi="Times New Roman"/>
          <w:b/>
          <w:i/>
          <w:color w:val="1E293B"/>
          <w:sz w:val="20"/>
        </w:rPr>
        <w:t>E. Game-Theoretic TreeSHAP Interpretability</w:t>
      </w:r>
    </w:p>
    <w:p w14:paraId="03A810ED" w14:textId="77777777" w:rsidR="00153A61" w:rsidRDefault="00402665">
      <w:pPr>
        <w:spacing w:after="100"/>
        <w:jc w:val="both"/>
      </w:pPr>
      <w:r>
        <w:rPr>
          <w:rFonts w:ascii="Times New Roman" w:hAnsi="Times New Roman"/>
          <w:color w:val="1E293B"/>
          <w:sz w:val="20"/>
        </w:rPr>
        <w:t>Global TreeSHAP feature attribution identifies dominant physical drivers: 1) 15-min autoregressive lag momentum (42.8%), 2) Ghazipur 130° plume alignment index (18.5%), 3) Stagnation severity index (14.2%), 4) Ambient temperature and nocturnal inversion proxy (10.9%), 5) Diurnal planetary boundary layer expansion (8.1%), and 6) Relative humidity and aerosol hygroscopy (5.5%).</w:t>
      </w:r>
    </w:p>
    <w:p w14:paraId="619E0F11" w14:textId="77777777" w:rsidR="00153A61" w:rsidRDefault="00153A61">
      <w:pPr>
        <w:spacing w:before="160" w:after="40"/>
        <w:jc w:val="center"/>
      </w:pPr>
    </w:p>
    <w:p w14:paraId="07B4D725" w14:textId="77777777" w:rsidR="00153A61" w:rsidRDefault="00402665">
      <w:r>
        <w:rPr>
          <w:noProof/>
        </w:rPr>
        <w:drawing>
          <wp:inline distT="0" distB="0" distL="0" distR="0" wp14:anchorId="241EB93D" wp14:editId="4AB6E4D8">
            <wp:extent cx="3072410" cy="2370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plot.png"/>
                    <pic:cNvPicPr/>
                  </pic:nvPicPr>
                  <pic:blipFill>
                    <a:blip r:embed="rId8"/>
                    <a:stretch>
                      <a:fillRect/>
                    </a:stretch>
                  </pic:blipFill>
                  <pic:spPr>
                    <a:xfrm>
                      <a:off x="0" y="0"/>
                      <a:ext cx="3092910" cy="2386474"/>
                    </a:xfrm>
                    <a:prstGeom prst="rect">
                      <a:avLst/>
                    </a:prstGeom>
                  </pic:spPr>
                </pic:pic>
              </a:graphicData>
            </a:graphic>
          </wp:inline>
        </w:drawing>
      </w:r>
    </w:p>
    <w:p w14:paraId="3FAE635C" w14:textId="77777777" w:rsidR="00153A61" w:rsidRDefault="00402665">
      <w:pPr>
        <w:spacing w:after="160"/>
        <w:jc w:val="center"/>
      </w:pPr>
      <w:r>
        <w:rPr>
          <w:rFonts w:ascii="Times New Roman" w:hAnsi="Times New Roman"/>
          <w:i/>
          <w:sz w:val="17"/>
        </w:rPr>
        <w:t>Fig. 3. Global TreeSHAP summary plot decomposing model predictions into physical atmospheric drivers.</w:t>
      </w:r>
    </w:p>
    <w:p w14:paraId="20268DC0" w14:textId="77777777" w:rsidR="00153A61" w:rsidRDefault="00402665">
      <w:pPr>
        <w:keepNext/>
        <w:spacing w:before="200" w:after="60"/>
      </w:pPr>
      <w:r>
        <w:rPr>
          <w:rFonts w:ascii="Times New Roman" w:hAnsi="Times New Roman"/>
          <w:b/>
          <w:i/>
          <w:color w:val="1E293B"/>
          <w:sz w:val="20"/>
        </w:rPr>
        <w:t>F. Production Web Deployment and Decision Support</w:t>
      </w:r>
    </w:p>
    <w:p w14:paraId="0218C39D" w14:textId="77777777" w:rsidR="00153A61" w:rsidRDefault="00402665">
      <w:pPr>
        <w:spacing w:after="100"/>
        <w:jc w:val="both"/>
      </w:pPr>
      <w:r>
        <w:rPr>
          <w:rFonts w:ascii="Times New Roman" w:hAnsi="Times New Roman"/>
          <w:color w:val="1E293B"/>
          <w:sz w:val="20"/>
        </w:rPr>
        <w:t>The framework was operationalized into an interactive React 18 / Vite / TypeScript web platform built on the SprintForge Design System:</w:t>
      </w:r>
      <w:r>
        <w:rPr>
          <w:rFonts w:ascii="Times New Roman" w:hAnsi="Times New Roman"/>
          <w:color w:val="1E293B"/>
          <w:sz w:val="20"/>
        </w:rPr>
        <w:br/>
        <w:t>• Dynamic Leaflet GIS Dispersion Cone: Computes and renders a dynamic Gaussian polygon originating from Ghazipur (28.6238°N, 77.3284°E) rotating in real time with prevailing wind direction (WD ± 22.5°).</w:t>
      </w:r>
      <w:r>
        <w:rPr>
          <w:rFonts w:ascii="Times New Roman" w:hAnsi="Times New Roman"/>
          <w:color w:val="1E293B"/>
          <w:sz w:val="20"/>
        </w:rPr>
        <w:br/>
      </w:r>
      <w:r>
        <w:rPr>
          <w:rFonts w:ascii="Times New Roman" w:hAnsi="Times New Roman"/>
          <w:color w:val="1E293B"/>
          <w:sz w:val="20"/>
        </w:rPr>
        <w:t>• Real-Time SHAP Waterfall Simulator: Evaluates environmental parameter sliders and calculates local waterfall attributions on-the-fly.</w:t>
      </w:r>
      <w:r>
        <w:rPr>
          <w:rFonts w:ascii="Times New Roman" w:hAnsi="Times New Roman"/>
          <w:color w:val="1E293B"/>
          <w:sz w:val="20"/>
        </w:rPr>
        <w:br/>
        <w:t xml:space="preserve">• Clinical Health Advisory &amp; Safe-Zone Routing: Computes persona-adaptive vulnerability multipliers (Asthma: 1.35x, Elderly: 1.30x, Children: 1.25x), ranks neighborhood exposure, generates simulated automated SMS alert broadcasts, and routes citizens to clean-air </w:t>
      </w:r>
      <w:r>
        <w:rPr>
          <w:rFonts w:ascii="Times New Roman" w:hAnsi="Times New Roman"/>
          <w:color w:val="1E293B"/>
          <w:sz w:val="20"/>
        </w:rPr>
        <w:lastRenderedPageBreak/>
        <w:t>buffer zones (Yamuna Akshardham corridor: -94% exposure reduction; Sanjay Lake: -88% exposure reduction).</w:t>
      </w:r>
    </w:p>
    <w:p w14:paraId="0B150EBE" w14:textId="77777777" w:rsidR="00153A61" w:rsidRDefault="00402665">
      <w:pPr>
        <w:keepNext/>
        <w:spacing w:before="280" w:after="80"/>
      </w:pPr>
      <w:r>
        <w:rPr>
          <w:rFonts w:ascii="Times New Roman" w:hAnsi="Times New Roman"/>
          <w:b/>
          <w:color w:val="0F172A"/>
          <w:sz w:val="21"/>
        </w:rPr>
        <w:t>V. CONCLUSION</w:t>
      </w:r>
    </w:p>
    <w:p w14:paraId="41E3450D" w14:textId="77777777" w:rsidR="00153A61" w:rsidRDefault="00402665">
      <w:pPr>
        <w:spacing w:after="100"/>
        <w:jc w:val="both"/>
      </w:pPr>
      <w:r>
        <w:rPr>
          <w:rFonts w:ascii="Times New Roman" w:hAnsi="Times New Roman"/>
          <w:color w:val="1E293B"/>
          <w:sz w:val="20"/>
        </w:rPr>
        <w:t>This paper has presented LandfillPlume-AI, an end-to-end framework integrating spaceborne hyperspectral remote sensing (NASA EMIT, ESA EnMAP) with continuous ground air quality telemetry (DPCC Anand Vihar). The study provides definitive empirical proof of a +74.5% Ammonia surge along the Ghazipur downwind corridor (p &lt; 0.001) and severe nocturnal boundary layer trapping between 02:00 and 06:00 IST (79.8 µg/m³). Machine learning benchmarks achieved R² = 0.9293 (PM2.5) and an F1-score of 0.9995 for toxic epis</w:t>
      </w:r>
      <w:r>
        <w:rPr>
          <w:rFonts w:ascii="Times New Roman" w:hAnsi="Times New Roman"/>
          <w:color w:val="1E293B"/>
          <w:sz w:val="20"/>
        </w:rPr>
        <w:t>ode classification with zero missed spikes. The production web platform delivers actionable decision support through dynamic Leaflet GIS dispersion cones and clinical safe-zone routing, offering an effective paradigm for urban environmental defense.</w:t>
      </w:r>
    </w:p>
    <w:p w14:paraId="46DCCCC5" w14:textId="77777777" w:rsidR="00153A61" w:rsidRDefault="00402665">
      <w:pPr>
        <w:keepNext/>
        <w:spacing w:before="280" w:after="80"/>
      </w:pPr>
      <w:r>
        <w:rPr>
          <w:rFonts w:ascii="Times New Roman" w:hAnsi="Times New Roman"/>
          <w:b/>
          <w:color w:val="0F172A"/>
          <w:sz w:val="21"/>
        </w:rPr>
        <w:t>REFERENCES</w:t>
      </w:r>
    </w:p>
    <w:p w14:paraId="1FA86FF2" w14:textId="77777777" w:rsidR="00153A61" w:rsidRDefault="00402665">
      <w:pPr>
        <w:spacing w:after="60" w:line="252" w:lineRule="auto"/>
        <w:jc w:val="both"/>
      </w:pPr>
      <w:r>
        <w:rPr>
          <w:rFonts w:ascii="Times New Roman" w:hAnsi="Times New Roman"/>
          <w:color w:val="334155"/>
          <w:sz w:val="17"/>
        </w:rPr>
        <w:t>[1] Central Pollution Control Board (CPCB), 'Annual report on solid waste management rules,' Ministry of Environment, Forest and Climate Change, New Delhi, India, Tech. Rep., 2023.</w:t>
      </w:r>
    </w:p>
    <w:p w14:paraId="1BDB4A3E" w14:textId="77777777" w:rsidR="00153A61" w:rsidRDefault="00402665">
      <w:pPr>
        <w:spacing w:after="60" w:line="252" w:lineRule="auto"/>
        <w:jc w:val="both"/>
      </w:pPr>
      <w:r>
        <w:rPr>
          <w:rFonts w:ascii="Times New Roman" w:hAnsi="Times New Roman"/>
          <w:color w:val="334155"/>
          <w:sz w:val="17"/>
        </w:rPr>
        <w:t>[2] P. Kumar et al., 'Air pollution challenges in Delhi: An overview of mitigation initiatives and need for comprehensive air quality management,' Atmospheric Environment, vol. 116, pp. 317–324, Sep. 2015.</w:t>
      </w:r>
    </w:p>
    <w:p w14:paraId="46BBF042" w14:textId="77777777" w:rsidR="00153A61" w:rsidRDefault="00402665">
      <w:pPr>
        <w:spacing w:after="60" w:line="252" w:lineRule="auto"/>
        <w:jc w:val="both"/>
      </w:pPr>
      <w:r>
        <w:rPr>
          <w:rFonts w:ascii="Times New Roman" w:hAnsi="Times New Roman"/>
          <w:color w:val="334155"/>
          <w:sz w:val="17"/>
        </w:rPr>
        <w:t>[3] P. Kjeldsen, M. A. Barlaz, A. P. Rooker, A. Baun, A. Ledin, and T. H. Christensen, 'Present and long-term composition of MSW landfill leachate: A review,' Critical Reviews in Environmental Science and Technology, vol. 32, no. 4, pp. 297–336, 2002.</w:t>
      </w:r>
    </w:p>
    <w:p w14:paraId="32FCF59C" w14:textId="77777777" w:rsidR="00153A61" w:rsidRDefault="00402665">
      <w:pPr>
        <w:spacing w:after="60" w:line="252" w:lineRule="auto"/>
        <w:jc w:val="both"/>
      </w:pPr>
      <w:r>
        <w:rPr>
          <w:rFonts w:ascii="Times New Roman" w:hAnsi="Times New Roman"/>
          <w:color w:val="334155"/>
          <w:sz w:val="17"/>
        </w:rPr>
        <w:t>[4] J. Bogner et al., 'Mitigation of global greenhouse gas emissions from waste: Conclusions and strategies from the Intergovernmental Panel on Climate Change (IPCC) Fourth Assessment Report,' Waste Management &amp; Research, vol. 26, no. 1, pp. 11–32, Feb. 2008.</w:t>
      </w:r>
    </w:p>
    <w:p w14:paraId="2D672F26" w14:textId="77777777" w:rsidR="00153A61" w:rsidRDefault="00402665">
      <w:pPr>
        <w:spacing w:after="60" w:line="252" w:lineRule="auto"/>
        <w:jc w:val="both"/>
      </w:pPr>
      <w:r>
        <w:rPr>
          <w:rFonts w:ascii="Times New Roman" w:hAnsi="Times New Roman"/>
          <w:color w:val="334155"/>
          <w:sz w:val="17"/>
        </w:rPr>
        <w:t>[5] X. Zou et al., 'Characterization of volatile organic compounds (VOCs) and odor emissions from municipal solid waste treatment plants,' Journal of Hazardous Materials, vol. 377, pp. 117–126, Oct. 2019.</w:t>
      </w:r>
    </w:p>
    <w:p w14:paraId="6A889799" w14:textId="77777777" w:rsidR="00153A61" w:rsidRDefault="00402665">
      <w:pPr>
        <w:spacing w:after="60" w:line="252" w:lineRule="auto"/>
        <w:jc w:val="both"/>
      </w:pPr>
      <w:r>
        <w:rPr>
          <w:rFonts w:ascii="Times New Roman" w:hAnsi="Times New Roman"/>
          <w:color w:val="334155"/>
          <w:sz w:val="17"/>
        </w:rPr>
        <w:t>[6] S. K. Sharma et al., 'Variation of ambient volatile organic compounds, carbon monoxide and particulate matter during extreme air pollution episodes in Delhi, India,' Urban Climate, vol. 42, p. 101099, Mar. 2022.</w:t>
      </w:r>
    </w:p>
    <w:p w14:paraId="152CBDC6" w14:textId="77777777" w:rsidR="00153A61" w:rsidRDefault="00402665">
      <w:pPr>
        <w:spacing w:after="60" w:line="252" w:lineRule="auto"/>
        <w:jc w:val="both"/>
      </w:pPr>
      <w:r>
        <w:rPr>
          <w:rFonts w:ascii="Times New Roman" w:hAnsi="Times New Roman"/>
          <w:color w:val="334155"/>
          <w:sz w:val="17"/>
        </w:rPr>
        <w:t>[7] Delhi Pollution Control Committee (DPCC), 'Continuous ambient air quality monitoring network data reports,' Government of NCT of Delhi, Tech. Rep. DPCC/CAAQMS/2024, 2024.</w:t>
      </w:r>
    </w:p>
    <w:p w14:paraId="70790BB3" w14:textId="77777777" w:rsidR="00153A61" w:rsidRDefault="00402665">
      <w:pPr>
        <w:spacing w:after="60" w:line="252" w:lineRule="auto"/>
        <w:jc w:val="both"/>
      </w:pPr>
      <w:r>
        <w:rPr>
          <w:rFonts w:ascii="Times New Roman" w:hAnsi="Times New Roman"/>
          <w:color w:val="334155"/>
          <w:sz w:val="17"/>
        </w:rPr>
        <w:t>[8] D. H. Cusworth et al., 'Strong methane point sources in urban basins: Evidence from airborne and spaceborne imaging spectrometry,' Environmental Science &amp; Technology Letters, vol. 7, no. 12, pp. 923–930, Nov. 2020.</w:t>
      </w:r>
    </w:p>
    <w:p w14:paraId="6EC2C9C3" w14:textId="77777777" w:rsidR="00153A61" w:rsidRDefault="00402665">
      <w:pPr>
        <w:spacing w:after="60" w:line="252" w:lineRule="auto"/>
        <w:jc w:val="both"/>
      </w:pPr>
      <w:r>
        <w:rPr>
          <w:rFonts w:ascii="Times New Roman" w:hAnsi="Times New Roman"/>
          <w:color w:val="334155"/>
          <w:sz w:val="17"/>
        </w:rPr>
        <w:t>[9] A. K. Thorpe et al., 'Attribution of methane point source emissions using the Earth Surface Mineral Dust Source Investigation (EMIT) imaging spectrometer,' Science Advances, vol. 9, no. 48, p. eadh2388, Dec. 2023.</w:t>
      </w:r>
    </w:p>
    <w:p w14:paraId="41C321DF" w14:textId="77777777" w:rsidR="00153A61" w:rsidRDefault="00402665">
      <w:pPr>
        <w:spacing w:after="60" w:line="252" w:lineRule="auto"/>
        <w:jc w:val="both"/>
      </w:pPr>
      <w:r>
        <w:rPr>
          <w:rFonts w:ascii="Times New Roman" w:hAnsi="Times New Roman"/>
          <w:color w:val="334155"/>
          <w:sz w:val="17"/>
        </w:rPr>
        <w:t>[10] S. Guttikunda, R. Goel, and P. Pant, 'Nature of air pollution, emission sources, and management in the Indian cities,' Atmospheric Environment, vol. 95, pp. 501–510, Oct. 2014.</w:t>
      </w:r>
    </w:p>
    <w:p w14:paraId="75F72E5E" w14:textId="77777777" w:rsidR="00153A61" w:rsidRDefault="00402665">
      <w:pPr>
        <w:spacing w:after="60" w:line="252" w:lineRule="auto"/>
        <w:jc w:val="both"/>
      </w:pPr>
      <w:r>
        <w:rPr>
          <w:rFonts w:ascii="Times New Roman" w:hAnsi="Times New Roman"/>
          <w:color w:val="334155"/>
          <w:sz w:val="17"/>
        </w:rPr>
        <w:t>[11] L. Guanter et al., 'The Environmental Mapping and Analysis Program (EnMAP) mission for spaceborne imaging spectroscopy: Overview and early results,' Remote Sensing of Environment, vol. 287, p. 113470, Mar. 2023.</w:t>
      </w:r>
    </w:p>
    <w:p w14:paraId="26BABB7E" w14:textId="77777777" w:rsidR="00153A61" w:rsidRDefault="00402665">
      <w:pPr>
        <w:spacing w:after="60" w:line="252" w:lineRule="auto"/>
        <w:jc w:val="both"/>
      </w:pPr>
      <w:r>
        <w:rPr>
          <w:rFonts w:ascii="Times New Roman" w:hAnsi="Times New Roman"/>
          <w:color w:val="334155"/>
          <w:sz w:val="17"/>
        </w:rPr>
        <w:t>[12] C. Frankenberg et al., 'Airborne remote sensing of methane super-emitters in the Four Corners region,' Proceedings of the National Academy of Sciences (PNAS), vol. 113, no. 35, pp. 9734–9739, Aug. 2016.</w:t>
      </w:r>
    </w:p>
    <w:p w14:paraId="64B7A79D" w14:textId="77777777" w:rsidR="00153A61" w:rsidRDefault="00402665">
      <w:pPr>
        <w:spacing w:after="60" w:line="252" w:lineRule="auto"/>
        <w:jc w:val="both"/>
      </w:pPr>
      <w:r>
        <w:rPr>
          <w:rFonts w:ascii="Times New Roman" w:hAnsi="Times New Roman"/>
          <w:color w:val="334155"/>
          <w:sz w:val="17"/>
        </w:rPr>
        <w:t>[13] D. J. Jacob et al., 'Quantifying methane emissions from the global scale down to point sources using satellite observations of atmospheric methane,' Atmospheric Chemistry and Physics, vol. 22, no. 14, pp. 9617–9646, Jul. 2022.</w:t>
      </w:r>
    </w:p>
    <w:p w14:paraId="74A61FE1" w14:textId="77777777" w:rsidR="00153A61" w:rsidRDefault="00402665">
      <w:pPr>
        <w:spacing w:after="60" w:line="252" w:lineRule="auto"/>
        <w:jc w:val="both"/>
      </w:pPr>
      <w:r>
        <w:rPr>
          <w:rFonts w:ascii="Times New Roman" w:hAnsi="Times New Roman"/>
          <w:color w:val="334155"/>
          <w:sz w:val="17"/>
        </w:rPr>
        <w:t>[14] A. K. Ray, 'Urban air quality modeling and predictive forecasting using non-linear support vector regression,' IEEE Transactions on Systems, Man, and Cybernetics: Systems, vol. 49, no. 4, pp. 782–791, Apr. 2019.</w:t>
      </w:r>
    </w:p>
    <w:p w14:paraId="2421DF85" w14:textId="77777777" w:rsidR="00153A61" w:rsidRDefault="00402665">
      <w:pPr>
        <w:spacing w:after="60" w:line="252" w:lineRule="auto"/>
        <w:jc w:val="both"/>
      </w:pPr>
      <w:r>
        <w:rPr>
          <w:rFonts w:ascii="Times New Roman" w:hAnsi="Times New Roman"/>
          <w:color w:val="334155"/>
          <w:sz w:val="17"/>
        </w:rPr>
        <w:t>[15] Y. LeCun, Y. Bengio, and G. Hinton, 'Deep learning,' Nature, vol. 521, no. 7553, pp. 436–444, May 2015.</w:t>
      </w:r>
    </w:p>
    <w:p w14:paraId="4288B0A2" w14:textId="77777777" w:rsidR="00153A61" w:rsidRDefault="00402665">
      <w:pPr>
        <w:spacing w:after="60" w:line="252" w:lineRule="auto"/>
        <w:jc w:val="both"/>
      </w:pPr>
      <w:r>
        <w:rPr>
          <w:rFonts w:ascii="Times New Roman" w:hAnsi="Times New Roman"/>
          <w:color w:val="334155"/>
          <w:sz w:val="17"/>
        </w:rPr>
        <w:t>[16] T. Chen and C. Guestrin, 'XGBoost: A scalable tree boosting system,' in Proc. 22nd ACM SIGKDD Int. Conf. Knowledge Discovery and Data Mining (KDD '16), San Francisco, CA, USA, 2016, pp. 785–794.</w:t>
      </w:r>
    </w:p>
    <w:p w14:paraId="10ECFCFD" w14:textId="77777777" w:rsidR="00153A61" w:rsidRDefault="00402665">
      <w:pPr>
        <w:spacing w:after="60" w:line="252" w:lineRule="auto"/>
        <w:jc w:val="both"/>
      </w:pPr>
      <w:r>
        <w:rPr>
          <w:rFonts w:ascii="Times New Roman" w:hAnsi="Times New Roman"/>
          <w:color w:val="334155"/>
          <w:sz w:val="17"/>
        </w:rPr>
        <w:t>[17] G. Ke et al., 'LightGBM: A highly efficient gradient boosting decision tree,' in Advances in Neural Information Processing Systems (NeurIPS 2017), Long Beach, CA, USA, vol. 30, 2017, pp. 3146–3154.</w:t>
      </w:r>
    </w:p>
    <w:p w14:paraId="6EB229FC" w14:textId="77777777" w:rsidR="00153A61" w:rsidRDefault="00402665">
      <w:pPr>
        <w:spacing w:after="60" w:line="252" w:lineRule="auto"/>
        <w:jc w:val="both"/>
      </w:pPr>
      <w:r>
        <w:rPr>
          <w:rFonts w:ascii="Times New Roman" w:hAnsi="Times New Roman"/>
          <w:color w:val="334155"/>
          <w:sz w:val="17"/>
        </w:rPr>
        <w:t>[18] S. V. S. S. Prasad, P. K. Bhuyan, and K. G. Rao, 'Nocturnal boundary layer height and surface inversion characteristics over an urban tropical station,' Journal of Earth System Science, vol. 126, no. 6, p. 81, Aug. 2017.</w:t>
      </w:r>
    </w:p>
    <w:p w14:paraId="44018B9A" w14:textId="77777777" w:rsidR="00153A61" w:rsidRDefault="00402665">
      <w:pPr>
        <w:spacing w:after="60" w:line="252" w:lineRule="auto"/>
        <w:jc w:val="both"/>
      </w:pPr>
      <w:r>
        <w:rPr>
          <w:rFonts w:ascii="Times New Roman" w:hAnsi="Times New Roman"/>
          <w:color w:val="334155"/>
          <w:sz w:val="17"/>
        </w:rPr>
        <w:t>[19] D. J. Carruthers, R. J. Holroyd, J. C. R. Hunt, W. S. Weng, A. G. Robins, and P. J. Apsley, 'UK-ADMS: A new approach to modelling dispersion in the earth's atmospheric boundary layer,' Journal of Wind Engineering and Industrial Aerodynamics, vol. 52, pp. 139–153, 1994.</w:t>
      </w:r>
    </w:p>
    <w:p w14:paraId="0A5571E2" w14:textId="77777777" w:rsidR="00153A61" w:rsidRDefault="00402665">
      <w:pPr>
        <w:spacing w:after="60" w:line="252" w:lineRule="auto"/>
        <w:jc w:val="both"/>
      </w:pPr>
      <w:r>
        <w:rPr>
          <w:rFonts w:ascii="Times New Roman" w:hAnsi="Times New Roman"/>
          <w:color w:val="334155"/>
          <w:sz w:val="17"/>
        </w:rPr>
        <w:t>[20] F. Pasquill, 'The estimation of the dispersion of windborne material,' The Meteorological Magazine, vol. 90, no. 1063, pp. 33–49, 1961.</w:t>
      </w:r>
    </w:p>
    <w:p w14:paraId="0AFEA3E7" w14:textId="77777777" w:rsidR="00153A61" w:rsidRDefault="00402665">
      <w:pPr>
        <w:spacing w:after="60" w:line="252" w:lineRule="auto"/>
        <w:jc w:val="both"/>
      </w:pPr>
      <w:r>
        <w:rPr>
          <w:rFonts w:ascii="Times New Roman" w:hAnsi="Times New Roman"/>
          <w:color w:val="334155"/>
          <w:sz w:val="17"/>
        </w:rPr>
        <w:t>[21] S. M. Lundberg and S.-I. Lee, 'A unified approach to interpreting model predictions,' in Advances in Neural Information Processing Systems (NeurIPS 2017), Long Beach, CA, USA, vol. 30, 2017, pp. 4765–4774.</w:t>
      </w:r>
    </w:p>
    <w:p w14:paraId="65E27C41" w14:textId="77777777" w:rsidR="00153A61" w:rsidRDefault="00402665">
      <w:pPr>
        <w:spacing w:after="60" w:line="252" w:lineRule="auto"/>
        <w:jc w:val="both"/>
      </w:pPr>
      <w:r>
        <w:rPr>
          <w:rFonts w:ascii="Times New Roman" w:hAnsi="Times New Roman"/>
          <w:color w:val="334155"/>
          <w:sz w:val="17"/>
        </w:rPr>
        <w:t>[22] S. M. Lundberg et al., 'From local explanations to global understanding with explainable AI for trees,' Nature Machine Intelligence, vol. 2, no. 1, pp. 56–67, Jan. 2020.</w:t>
      </w:r>
    </w:p>
    <w:p w14:paraId="3CC5B151" w14:textId="77777777" w:rsidR="00153A61" w:rsidRDefault="00402665">
      <w:pPr>
        <w:spacing w:after="60" w:line="252" w:lineRule="auto"/>
        <w:jc w:val="both"/>
      </w:pPr>
      <w:r>
        <w:rPr>
          <w:rFonts w:ascii="Times New Roman" w:hAnsi="Times New Roman"/>
          <w:color w:val="334155"/>
          <w:sz w:val="17"/>
        </w:rPr>
        <w:t>[23] Y. Masood and U. Saeed, 'Explainable artificial intelligence (XAI) for particulate matter forecasting: Opening the environmental black box,' IEEE Access, vol. 10, pp. 88312–88325, 2022.</w:t>
      </w:r>
    </w:p>
    <w:sectPr w:rsidR="00153A61" w:rsidSect="006A267B">
      <w:type w:val="continuous"/>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542478">
    <w:abstractNumId w:val="8"/>
  </w:num>
  <w:num w:numId="2" w16cid:durableId="1690712818">
    <w:abstractNumId w:val="6"/>
  </w:num>
  <w:num w:numId="3" w16cid:durableId="1700738195">
    <w:abstractNumId w:val="5"/>
  </w:num>
  <w:num w:numId="4" w16cid:durableId="565385642">
    <w:abstractNumId w:val="4"/>
  </w:num>
  <w:num w:numId="5" w16cid:durableId="933588761">
    <w:abstractNumId w:val="7"/>
  </w:num>
  <w:num w:numId="6" w16cid:durableId="1871717493">
    <w:abstractNumId w:val="3"/>
  </w:num>
  <w:num w:numId="7" w16cid:durableId="1074670212">
    <w:abstractNumId w:val="2"/>
  </w:num>
  <w:num w:numId="8" w16cid:durableId="430129758">
    <w:abstractNumId w:val="1"/>
  </w:num>
  <w:num w:numId="9" w16cid:durableId="48289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A61"/>
    <w:rsid w:val="0029639D"/>
    <w:rsid w:val="00305F1C"/>
    <w:rsid w:val="00326F90"/>
    <w:rsid w:val="00402665"/>
    <w:rsid w:val="006A267B"/>
    <w:rsid w:val="00A4581E"/>
    <w:rsid w:val="00AA1D8D"/>
    <w:rsid w:val="00B47730"/>
    <w:rsid w:val="00CB0664"/>
    <w:rsid w:val="00D409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9584B5C-179B-45C7-A2FE-D1CBE08C4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3410</Words>
  <Characters>19441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GHOSH</cp:lastModifiedBy>
  <cp:revision>4</cp:revision>
  <dcterms:created xsi:type="dcterms:W3CDTF">2013-12-23T23:15:00Z</dcterms:created>
  <dcterms:modified xsi:type="dcterms:W3CDTF">2026-10-27T15:07:00Z</dcterms:modified>
  <cp:category/>
</cp:coreProperties>
</file>