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3A8A"/>
        </w:rPr>
        <w:t>Postmarketing Adverse Drug Experience Report (PADER)</w:t>
      </w:r>
    </w:p>
    <w:p>
      <w:r>
        <w:rPr>
          <w:i/>
        </w:rPr>
        <w:t>Product: Bisoprolol | Standard: US FDA 21 CFR 314.80(c)(2) | Version: 1.0</w:t>
      </w:r>
    </w:p>
    <w:p>
      <w:r>
        <w:t>**Product Name:** Bisoprolol</w:t>
      </w:r>
    </w:p>
    <w:p>
      <w:r>
        <w:t>**Regulatory Standard:** US FDA 21 CFR 314.80(c)(2)</w:t>
      </w:r>
    </w:p>
    <w:p>
      <w:r>
        <w:t>**Document Version:** 1.0</w:t>
      </w:r>
    </w:p>
    <w:p>
      <w:pPr>
        <w:pStyle w:val="Heading1"/>
      </w:pPr>
      <w:r>
        <w:t>1. Reporting Period and Product Identification</w:t>
      </w:r>
    </w:p>
    <w:p>
      <w:pPr>
        <w:pStyle w:val="Heading2"/>
      </w:pPr>
      <w:r>
        <w:t>Product Identification and Reporting Period</w:t>
      </w:r>
    </w:p>
    <w:p>
      <w:pPr>
        <w:pStyle w:val="ListBullet"/>
      </w:pPr>
      <w:r>
        <w:t>**Medicinal Product:** Bisoprolol</w:t>
      </w:r>
    </w:p>
    <w:p>
      <w:pPr>
        <w:pStyle w:val="ListBullet"/>
      </w:pPr>
      <w:r>
        <w:t>**Report Type:** PADER (US FDA 21 CFR 314.80(c)(2))</w:t>
      </w:r>
    </w:p>
    <w:p>
      <w:pPr>
        <w:pStyle w:val="ListBullet"/>
      </w:pPr>
      <w:r>
        <w:t>**Reporting Interval:** 2024-12-27 to 2025-12-26</w:t>
      </w:r>
    </w:p>
    <w:p>
      <w:pPr>
        <w:pStyle w:val="ListBullet"/>
      </w:pPr>
      <w:r>
        <w:t>**Cumulative Interval ICSRs:** 1024 unique safety cases (1068 total line listing rows)</w:t>
      </w:r>
    </w:p>
    <w:p>
      <w:r>
        <w:t>This Postmarketing Adverse Drug Experience Report (PADER) presents safety data collected during the specified postmarketing surveillance period. Reporting date parameters are derived dynamically from case receipt date boundaries.</w:t>
      </w:r>
    </w:p>
    <w:p>
      <w:pPr>
        <w:pStyle w:val="Heading1"/>
      </w:pPr>
      <w:r>
        <w:t>2. Narrative Summary and Overall Safety Analysis</w:t>
      </w:r>
    </w:p>
    <w:p>
      <w:pPr>
        <w:pStyle w:val="Heading2"/>
      </w:pPr>
      <w:r>
        <w:t>Executive Narrative Summary</w:t>
      </w:r>
    </w:p>
    <w:p>
      <w:r>
        <w:t>During the reporting period (2024-12-27 to 2025-12-26), a total of **1024 unique safety cases** representing **1068 adverse reaction records** (comprising 3648 individual MedDRA Preferred Term mentions across 1122 distinct terms) were processed.</w:t>
      </w:r>
    </w:p>
    <w:p>
      <w:r>
        <w:t>Of the 1024 total cases, **1023 (99.9%)** were categorized as serious, and **1 (0.1%)** was categorized as non-serious.</w:t>
      </w:r>
    </w:p>
    <w:p>
      <w:pPr>
        <w:pStyle w:val="Heading3"/>
      </w:pPr>
      <w:r>
        <w:t>Key Serious Criteria Summary</w:t>
      </w:r>
    </w:p>
    <w:p>
      <w:pPr/>
      <w:r>
        <w:t>| Seriousness Criterion | Number of Cases | % of Total Cases |</w:t>
      </w:r>
    </w:p>
    <w:p>
      <w:r>
        <w:t>| :--- | :--- | :--- |</w:t>
      </w:r>
    </w:p>
    <w:p>
      <w:pPr/>
      <w:r>
        <w:t>| Death | 67 | 6.54% |</w:t>
      </w:r>
    </w:p>
    <w:p>
      <w:pPr/>
      <w:r>
        <w:t>| Life-Threatening | 105 | 10.25% |</w:t>
      </w:r>
    </w:p>
    <w:p>
      <w:pPr/>
      <w:r>
        <w:t>| Hospitalization / Prolongation | 480 | 46.88% |</w:t>
      </w:r>
    </w:p>
    <w:p>
      <w:pPr/>
      <w:r>
        <w:t>| Disability / Incapacity | 43 | 4.2% |</w:t>
      </w:r>
    </w:p>
    <w:p>
      <w:pPr/>
      <w:r>
        <w:t>| Congenital Anomaly | 7 | 0.68% |</w:t>
      </w:r>
    </w:p>
    <w:p>
      <w:pPr/>
      <w:r>
        <w:t>| Other Medically Important Condition | 905 | 88.38% |</w:t>
      </w:r>
    </w:p>
    <w:p>
      <w:r>
        <w:t>*Seriousness criteria flags are non-mutually exclusive; a single case may meet multiple criteria.*</w:t>
      </w:r>
    </w:p>
    <w:p>
      <w:pPr>
        <w:pStyle w:val="Heading3"/>
      </w:pPr>
      <w:r>
        <w:t>Clinical Outcomes Distribution (Reaction Level)</w:t>
      </w:r>
    </w:p>
    <w:p>
      <w:pPr/>
      <w:r>
        <w:t>| Reaction Outcome | Count | % of Outcomes |</w:t>
      </w:r>
    </w:p>
    <w:p>
      <w:r>
        <w:t>| :--- | :--- | :--- |</w:t>
      </w:r>
    </w:p>
    <w:p>
      <w:pPr/>
      <w:r>
        <w:t>| Recovered / Resolved | 1347 | 36.99% |</w:t>
      </w:r>
    </w:p>
    <w:p>
      <w:pPr/>
      <w:r>
        <w:t>| Unknown / Not Reported | 1135 | 31.16% |</w:t>
      </w:r>
    </w:p>
    <w:p>
      <w:pPr/>
      <w:r>
        <w:t>| Not Recovered / Not Resolved / Ongoing | 569 | 15.62% |</w:t>
      </w:r>
    </w:p>
    <w:p>
      <w:pPr/>
      <w:r>
        <w:t>| Recovering / Resolving | 420 | 11.53% |</w:t>
      </w:r>
    </w:p>
    <w:p>
      <w:pPr/>
      <w:r>
        <w:t>| Fatal | 137 | 3.76% |</w:t>
      </w:r>
    </w:p>
    <w:p>
      <w:pPr/>
      <w:r>
        <w:t>| Recovered / Resolved with Sequelae | 34 | 0.93% |</w:t>
      </w:r>
    </w:p>
    <w:p>
      <w:r>
        <w:t>*Outcomes are recorded at the reaction level; individual patients may have multiple reactions with differing outcomes.*</w:t>
      </w:r>
    </w:p>
    <w:p>
      <w:pPr>
        <w:pStyle w:val="Heading1"/>
      </w:pPr>
      <w:r>
        <w:t>3. Summary Analysis of Cases (Demographics and Geography)</w:t>
      </w:r>
    </w:p>
    <w:p>
      <w:pPr>
        <w:pStyle w:val="Heading2"/>
      </w:pPr>
      <w:r>
        <w:t>Patient Demographics and Geographic Distribution</w:t>
      </w:r>
    </w:p>
    <w:p>
      <w:r>
        <w:t>Demographic and geographic analyses are conducted at the case level across all 1024 unique safety reports.</w:t>
      </w:r>
    </w:p>
    <w:p>
      <w:pPr>
        <w:pStyle w:val="Heading3"/>
      </w:pPr>
      <w:r>
        <w:t>Age Stratification</w:t>
      </w:r>
    </w:p>
    <w:p>
      <w:pPr/>
      <w:r>
        <w:t>| Age Category | Case Count | % of Total Cases |</w:t>
      </w:r>
    </w:p>
    <w:p>
      <w:r>
        <w:t>| :--- | :--- | :--- |</w:t>
      </w:r>
    </w:p>
    <w:p>
      <w:pPr/>
      <w:r>
        <w:t>| Pediatric (&lt;18 years) | 19 | 1.86% |</w:t>
      </w:r>
    </w:p>
    <w:p>
      <w:pPr/>
      <w:r>
        <w:t>| Adult (18-64 years) | 248 | 24.22% |</w:t>
      </w:r>
    </w:p>
    <w:p>
      <w:pPr/>
      <w:r>
        <w:t>| Elderly (65-74 years) | 266 | 25.98% |</w:t>
      </w:r>
    </w:p>
    <w:p>
      <w:pPr/>
      <w:r>
        <w:t>| Elderly (75+ years) | 407 | 39.75% |</w:t>
      </w:r>
    </w:p>
    <w:p>
      <w:pPr/>
      <w:r>
        <w:t>| Unknown / Not Reported | 84 | 8.2% |</w:t>
      </w:r>
    </w:p>
    <w:p>
      <w:r>
        <w:t>Among cases reporting numeric age (n = 940), the mean age was **69.9 years** (median: 72.0 years; range: 0.1 – 104.0 years). Ages normalized from patient_patientonsetageunit (days/months/years) to years. Bins: &lt;18, 18-64, 65-74, 75+, Unknown.</w:t>
      </w:r>
    </w:p>
    <w:p>
      <w:pPr>
        <w:pStyle w:val="Heading3"/>
      </w:pPr>
      <w:r>
        <w:t>Biological Sex Distribution</w:t>
      </w:r>
    </w:p>
    <w:p>
      <w:pPr/>
      <w:r>
        <w:t>| Sex | Case Count | % of Total Cases |</w:t>
      </w:r>
    </w:p>
    <w:p>
      <w:r>
        <w:t>| :--- | :--- | :--- |</w:t>
      </w:r>
    </w:p>
    <w:p>
      <w:pPr/>
      <w:r>
        <w:t>| Female | 503 | 49.12% |</w:t>
      </w:r>
    </w:p>
    <w:p>
      <w:pPr/>
      <w:r>
        <w:t>| Male | 493 | 48.14% |</w:t>
      </w:r>
    </w:p>
    <w:p>
      <w:pPr/>
      <w:r>
        <w:t>| Unknown / Not Reported | 28 | 2.73% |</w:t>
      </w:r>
    </w:p>
    <w:p>
      <w:pPr>
        <w:pStyle w:val="Heading3"/>
      </w:pPr>
      <w:r>
        <w:t>Geographic Distribution (Occur Country)</w:t>
      </w:r>
    </w:p>
    <w:p>
      <w:r>
        <w:t>occurcountry was chosen as primary geographic indicator. Divergence with primarysource_reportercountry was observed in 8 cases.</w:t>
      </w:r>
    </w:p>
    <w:p>
      <w:pPr/>
      <w:r>
        <w:t>| Country | Case Count | % of Total Cases |</w:t>
      </w:r>
    </w:p>
    <w:p>
      <w:r>
        <w:t>| :--- | :--- | :--- |</w:t>
      </w:r>
    </w:p>
    <w:p>
      <w:pPr/>
      <w:r>
        <w:t>| Eu | 325 | 31.74% |</w:t>
      </w:r>
    </w:p>
    <w:p>
      <w:pPr/>
      <w:r>
        <w:t>| United Kingdom | 278 | 27.15% |</w:t>
      </w:r>
    </w:p>
    <w:p>
      <w:pPr/>
      <w:r>
        <w:t>| France | 187 | 18.26% |</w:t>
      </w:r>
    </w:p>
    <w:p>
      <w:pPr/>
      <w:r>
        <w:t>| Canada | 55 | 5.37% |</w:t>
      </w:r>
    </w:p>
    <w:p>
      <w:pPr/>
      <w:r>
        <w:t>| Italy | 52 | 5.08% |</w:t>
      </w:r>
    </w:p>
    <w:p>
      <w:pPr/>
      <w:r>
        <w:t>| Germany | 39 | 3.81% |</w:t>
      </w:r>
    </w:p>
    <w:p>
      <w:pPr/>
      <w:r>
        <w:t>| Spain | 26 | 2.54% |</w:t>
      </w:r>
    </w:p>
    <w:p>
      <w:pPr/>
      <w:r>
        <w:t>| Poland | 21 | 2.05% |</w:t>
      </w:r>
    </w:p>
    <w:p>
      <w:pPr/>
      <w:r>
        <w:t>| Portugal | 9 | 0.88% |</w:t>
      </w:r>
    </w:p>
    <w:p>
      <w:pPr/>
      <w:r>
        <w:t>| Unknown / Not Reported | 7 | 0.68% |</w:t>
      </w:r>
    </w:p>
    <w:p>
      <w:pPr/>
      <w:r>
        <w:t>| Other Countries | 25 | 2.44% |</w:t>
      </w:r>
    </w:p>
    <w:p>
      <w:pPr>
        <w:pStyle w:val="Heading1"/>
      </w:pPr>
      <w:r>
        <w:t>4. Reaction and Adverse Event Analysis</w:t>
      </w:r>
    </w:p>
    <w:p>
      <w:pPr>
        <w:pStyle w:val="Heading2"/>
      </w:pPr>
      <w:r>
        <w:t>Adverse Drug Reaction Analysis</w:t>
      </w:r>
    </w:p>
    <w:p>
      <w:r>
        <w:rPr>
          <w:i/>
        </w:rPr>
        <w:t>**Regulatory Data Note:** MedDRA Preferred Term (PT) level. (System Organ Class grouping unavailable in raw dataset). Adverse reactions are presented at the MedDRA Preferred Term (PT) level.</w:t>
      </w:r>
    </w:p>
    <w:p>
      <w:r>
        <w:t>A total of **3648 MedDRA PT mentions** (1122 distinct terms) were analyzed across the dataset.</w:t>
      </w:r>
    </w:p>
    <w:p>
      <w:pPr>
        <w:pStyle w:val="Heading3"/>
      </w:pPr>
      <w:r>
        <w:t>Top 15 Most Frequently Reported Adverse Reactions (All Reports)</w:t>
      </w:r>
    </w:p>
    <w:p>
      <w:pPr/>
      <w:r>
        <w:t>| MedDRA Preferred Term (PT) | Frequency Count | % of All PT Mentions |</w:t>
      </w:r>
    </w:p>
    <w:p>
      <w:r>
        <w:t>| :--- | :--- | :--- |</w:t>
      </w:r>
    </w:p>
    <w:p>
      <w:pPr/>
      <w:r>
        <w:t>| Acute kidney injury | 81 | 2.22% |</w:t>
      </w:r>
    </w:p>
    <w:p>
      <w:pPr/>
      <w:r>
        <w:t>| Drug ineffective | 60 | 1.64% |</w:t>
      </w:r>
    </w:p>
    <w:p>
      <w:pPr/>
      <w:r>
        <w:t>| Hypotension | 48 | 1.32% |</w:t>
      </w:r>
    </w:p>
    <w:p>
      <w:pPr/>
      <w:r>
        <w:t>| Drug interaction | 45 | 1.23% |</w:t>
      </w:r>
    </w:p>
    <w:p>
      <w:pPr/>
      <w:r>
        <w:t>| Dizziness | 40 | 1.1% |</w:t>
      </w:r>
    </w:p>
    <w:p>
      <w:pPr/>
      <w:r>
        <w:t>| Bradycardia | 39 | 1.07% |</w:t>
      </w:r>
    </w:p>
    <w:p>
      <w:pPr/>
      <w:r>
        <w:t>| Dyspnoea | 39 | 1.07% |</w:t>
      </w:r>
    </w:p>
    <w:p>
      <w:pPr/>
      <w:r>
        <w:t>| Fatigue | 35 | 0.96% |</w:t>
      </w:r>
    </w:p>
    <w:p>
      <w:pPr/>
      <w:r>
        <w:t>| Off label use | 34 | 0.93% |</w:t>
      </w:r>
    </w:p>
    <w:p>
      <w:pPr/>
      <w:r>
        <w:t>| Diarrhoea | 33 | 0.9% |</w:t>
      </w:r>
    </w:p>
    <w:p>
      <w:pPr/>
      <w:r>
        <w:t>| Fall | 32 | 0.88% |</w:t>
      </w:r>
    </w:p>
    <w:p>
      <w:pPr/>
      <w:r>
        <w:t>| Condition aggravated | 30 | 0.82% |</w:t>
      </w:r>
    </w:p>
    <w:p>
      <w:pPr/>
      <w:r>
        <w:t>| Asthenia | 28 | 0.77% |</w:t>
      </w:r>
    </w:p>
    <w:p>
      <w:pPr/>
      <w:r>
        <w:t>| Medication error | 27 | 0.74% |</w:t>
      </w:r>
    </w:p>
    <w:p>
      <w:pPr/>
      <w:r>
        <w:t>| Hypokalaemia | 27 | 0.74% |</w:t>
      </w:r>
    </w:p>
    <w:p>
      <w:pPr>
        <w:pStyle w:val="Heading3"/>
      </w:pPr>
      <w:r>
        <w:t>Top 15 Most Frequently Reported Serious Adverse Reactions</w:t>
      </w:r>
    </w:p>
    <w:p>
      <w:r>
        <w:t>Restricted to serious cases (totaling 3645 serious PT mentions across 1121 distinct terms):</w:t>
      </w:r>
    </w:p>
    <w:p>
      <w:pPr/>
      <w:r>
        <w:t>| MedDRA Preferred Term (PT) | Serious Frequency Count | % of Serious PT Mentions |</w:t>
      </w:r>
    </w:p>
    <w:p>
      <w:r>
        <w:t>| :--- | :--- | :--- |</w:t>
      </w:r>
    </w:p>
    <w:p>
      <w:pPr/>
      <w:r>
        <w:t>| Acute kidney injury | 81 | 2.22% |</w:t>
      </w:r>
    </w:p>
    <w:p>
      <w:pPr/>
      <w:r>
        <w:t>| Drug ineffective | 59 | 1.62% |</w:t>
      </w:r>
    </w:p>
    <w:p>
      <w:pPr/>
      <w:r>
        <w:t>| Hypotension | 48 | 1.32% |</w:t>
      </w:r>
    </w:p>
    <w:p>
      <w:pPr/>
      <w:r>
        <w:t>| Drug interaction | 45 | 1.23% |</w:t>
      </w:r>
    </w:p>
    <w:p>
      <w:pPr/>
      <w:r>
        <w:t>| Dizziness | 40 | 1.1% |</w:t>
      </w:r>
    </w:p>
    <w:p>
      <w:pPr/>
      <w:r>
        <w:t>| Bradycardia | 39 | 1.07% |</w:t>
      </w:r>
    </w:p>
    <w:p>
      <w:pPr/>
      <w:r>
        <w:t>| Dyspnoea | 39 | 1.07% |</w:t>
      </w:r>
    </w:p>
    <w:p>
      <w:pPr/>
      <w:r>
        <w:t>| Fatigue | 35 | 0.96% |</w:t>
      </w:r>
    </w:p>
    <w:p>
      <w:pPr/>
      <w:r>
        <w:t>| Off label use | 34 | 0.93% |</w:t>
      </w:r>
    </w:p>
    <w:p>
      <w:pPr/>
      <w:r>
        <w:t>| Diarrhoea | 33 | 0.91% |</w:t>
      </w:r>
    </w:p>
    <w:p>
      <w:pPr/>
      <w:r>
        <w:t>| Fall | 32 | 0.88% |</w:t>
      </w:r>
    </w:p>
    <w:p>
      <w:pPr/>
      <w:r>
        <w:t>| Condition aggravated | 30 | 0.82% |</w:t>
      </w:r>
    </w:p>
    <w:p>
      <w:pPr/>
      <w:r>
        <w:t>| Asthenia | 28 | 0.77% |</w:t>
      </w:r>
    </w:p>
    <w:p>
      <w:pPr/>
      <w:r>
        <w:t>| Medication error | 27 | 0.74% |</w:t>
      </w:r>
    </w:p>
    <w:p>
      <w:pPr/>
      <w:r>
        <w:t>| Hypokalaemia | 27 | 0.74% |</w:t>
      </w:r>
    </w:p>
    <w:p>
      <w:pPr>
        <w:pStyle w:val="Heading1"/>
      </w:pPr>
      <w:r>
        <w:t>5. Serious Cases and 15-Day Alert Reports</w:t>
      </w:r>
    </w:p>
    <w:p>
      <w:pPr>
        <w:pStyle w:val="Heading2"/>
      </w:pPr>
      <w:r>
        <w:t>Serious Cases and 15-Day Expedited Alert Reports</w:t>
      </w:r>
    </w:p>
    <w:p>
      <w:r>
        <w:t>Under 21 CFR 314.80, postmarketing adverse drug experiences that are both serious and unexpected require 15-day alert notification. In the current dataset, **1023 cases (99.9%)** fulfilled expedited reporting criteria (`fulfillexpeditecriteria = yes`), while **1 case (0.1%)** was non-expedited.</w:t>
      </w:r>
    </w:p>
    <w:p>
      <w:pPr>
        <w:pStyle w:val="Heading3"/>
      </w:pPr>
      <w:r>
        <w:t>Expedited Alert Status Tabulation</w:t>
      </w:r>
    </w:p>
    <w:p>
      <w:pPr/>
      <w:r>
        <w:t>| Reporting Classification | Case Count | % of Total Cases |</w:t>
      </w:r>
    </w:p>
    <w:p>
      <w:r>
        <w:t>| :--- | :--- | :--- |</w:t>
      </w:r>
    </w:p>
    <w:p>
      <w:pPr/>
      <w:r>
        <w:t>| 15-Day Expedited Alert Reports | 1023 | 99.9% |</w:t>
      </w:r>
    </w:p>
    <w:p>
      <w:pPr/>
      <w:r>
        <w:t>| Non-Expedited Periodic Reports | 1 | 0.1% |</w:t>
      </w:r>
    </w:p>
    <w:p>
      <w:pPr/>
      <w:r>
        <w:t>| Serious &amp; Expedited Intersection | 1023 | 99.9% |</w:t>
      </w:r>
    </w:p>
    <w:p>
      <w:pPr/>
      <w:r>
        <w:t>| Fatal Outcome Cases | 67 | 6.54% |</w:t>
      </w:r>
    </w:p>
    <w:p>
      <w:r>
        <w:t>*Cases fulfilling expedite criteria require 15-day alert submission to regulatory authorities.*</w:t>
      </w:r>
    </w:p>
    <w:p>
      <w:pPr>
        <w:pStyle w:val="Heading1"/>
      </w:pPr>
      <w:r>
        <w:t>6. Trends and Important Observations</w:t>
      </w:r>
    </w:p>
    <w:p>
      <w:pPr>
        <w:pStyle w:val="Heading2"/>
      </w:pPr>
      <w:r>
        <w:t>Intake Trends and Interval Observations</w:t>
      </w:r>
    </w:p>
    <w:p>
      <w:r>
        <w:t>During the 12-month reporting interval, a total of **1024 cases** were received. The mean monthly intake volume was **78.8 cases** (range: 21 to 109 cases/month), with peak receipt volume observed in **2025-07** (109 cases).</w:t>
      </w:r>
    </w:p>
    <w:p>
      <w:pPr>
        <w:pStyle w:val="Heading3"/>
      </w:pPr>
      <w:r>
        <w:t>Monthly Case Intake Volume</w:t>
      </w:r>
    </w:p>
    <w:p>
      <w:pPr/>
      <w:r>
        <w:t>| Period (YYYY-MM) | Case Count | % of Total Period Intake |</w:t>
      </w:r>
    </w:p>
    <w:p>
      <w:r>
        <w:t>| :--- | :--- | :--- |</w:t>
      </w:r>
    </w:p>
    <w:p>
      <w:pPr/>
      <w:r>
        <w:t>| 2024-12 | 21 | 2.05% |</w:t>
      </w:r>
    </w:p>
    <w:p>
      <w:pPr/>
      <w:r>
        <w:t>| 2025-01 | 75 | 7.32% |</w:t>
      </w:r>
    </w:p>
    <w:p>
      <w:pPr/>
      <w:r>
        <w:t>| 2025-02 | 94 | 9.18% |</w:t>
      </w:r>
    </w:p>
    <w:p>
      <w:pPr/>
      <w:r>
        <w:t>| 2025-03 | 83 | 8.11% |</w:t>
      </w:r>
    </w:p>
    <w:p>
      <w:pPr/>
      <w:r>
        <w:t>| 2025-04 | 78 | 7.62% |</w:t>
      </w:r>
    </w:p>
    <w:p>
      <w:pPr/>
      <w:r>
        <w:t>| 2025-05 | 80 | 7.81% |</w:t>
      </w:r>
    </w:p>
    <w:p>
      <w:pPr/>
      <w:r>
        <w:t>| 2025-06 | 84 | 8.2% |</w:t>
      </w:r>
    </w:p>
    <w:p>
      <w:pPr/>
      <w:r>
        <w:t>| 2025-07 | 109 | 10.64% |</w:t>
      </w:r>
    </w:p>
    <w:p>
      <w:pPr/>
      <w:r>
        <w:t>| 2025-08 | 64 | 6.25% |</w:t>
      </w:r>
    </w:p>
    <w:p>
      <w:pPr/>
      <w:r>
        <w:t>| 2025-09 | 76 | 7.42% |</w:t>
      </w:r>
    </w:p>
    <w:p>
      <w:pPr/>
      <w:r>
        <w:t>| 2025-10 | 102 | 9.96% |</w:t>
      </w:r>
    </w:p>
    <w:p>
      <w:pPr/>
      <w:r>
        <w:t>| 2025-11 | 75 | 7.32% |</w:t>
      </w:r>
    </w:p>
    <w:p>
      <w:pPr/>
      <w:r>
        <w:t>| 2025-12 | 83 | 8.11% |</w:t>
      </w:r>
    </w:p>
    <w:p>
      <w:r>
        <w:rPr>
          <w:i/>
        </w:rPr>
        <w:t>*Interpretive Caution:* Numeric trends reflect spontaneous reporting intake over time and do not represent incidence rates or confirmed safety signals.</w:t>
      </w:r>
    </w:p>
    <w:p>
      <w:pPr>
        <w:pStyle w:val="Heading1"/>
      </w:pPr>
      <w:r>
        <w:t>7. History of Safety Actions Taken</w:t>
      </w:r>
    </w:p>
    <w:p>
      <w:pPr>
        <w:pStyle w:val="Heading2"/>
      </w:pPr>
      <w:r>
        <w:t>History of Safety Actions Taken</w:t>
      </w:r>
    </w:p>
    <w:p>
      <w:r>
        <w:t>**Statement of Regulatory Data Status:** No history-of-actions data or regulatory safety notifications (such as label changes, Dear Healthcare Professional letters, or market withdrawals) were supplied in the source dataset for this reporting exercise. In adherence to pharmacovigilance data integrity standards, no actions have been assumed or fabricated.</w:t>
      </w:r>
    </w:p>
    <w:p>
      <w:pPr>
        <w:pStyle w:val="Heading1"/>
      </w:pPr>
      <w:r>
        <w:t>8. Line Listing and Case Index</w:t>
      </w:r>
    </w:p>
    <w:p>
      <w:pPr>
        <w:pStyle w:val="Heading2"/>
      </w:pPr>
      <w:r>
        <w:t>Line Listing and Case Index</w:t>
      </w:r>
    </w:p>
    <w:p>
      <w:r>
        <w:t>Representative sample of individual case safety listings (showing 50 of 1024 cases):</w:t>
      </w:r>
    </w:p>
    <w:p>
      <w:pPr/>
      <w:r>
        <w:t>| Case ID | Receive Date | Country | Age | Sex | Serious | Expedited | Reported Preferred Terms | Outcome |</w:t>
      </w:r>
    </w:p>
    <w:p>
      <w:r>
        <w:t>| :--- | :--- | :--- | :--- | :--- | :--- | :--- | :--- | :--- |</w:t>
      </w:r>
    </w:p>
    <w:p>
      <w:pPr/>
      <w:r>
        <w:t>| 24780403 | 20241227 | Italy | 85 | Female | Yes | Yes | Rectal haemorrhage,Deficiency anaemia | unknown,unknown |</w:t>
      </w:r>
    </w:p>
    <w:p>
      <w:pPr/>
      <w:r>
        <w:t>| 24780599 | 20241227 | France | 69 | Female | Yes | Yes | Coma | recovered/resolved |</w:t>
      </w:r>
    </w:p>
    <w:p>
      <w:pPr/>
      <w:r>
        <w:t>| 24780680 | 20241227 | France | 85 | Male | Yes | Yes | Acute kidney injury | recovered/resolved |</w:t>
      </w:r>
    </w:p>
    <w:p>
      <w:pPr/>
      <w:r>
        <w:t>| 24784771 | 20241228 | United Kingdom | 86 | Female | Yes | Yes | Muscle spasms | recovered/resolved |</w:t>
      </w:r>
    </w:p>
    <w:p>
      <w:pPr/>
      <w:r>
        <w:t>| 24784845 | 20241228 | United Kingdom | 35 | Male | Yes | Yes | Chest pain,Anxiety,Panic attack | not recovered/not resolved/ongoing,recovering/resolving,recovering/resolving |</w:t>
      </w:r>
    </w:p>
    <w:p>
      <w:pPr/>
      <w:r>
        <w:t>| 24784920 | 20241228 | United Kingdom | 60 | Female | Yes | Yes | Genital burning sensation | not recovered/not resolved/ongoing |</w:t>
      </w:r>
    </w:p>
    <w:p>
      <w:pPr/>
      <w:r>
        <w:t>| 24784985 | 20241228 | United Kingdom | 78 | Male | Yes | Yes | Pemphigoid | unknown |</w:t>
      </w:r>
    </w:p>
    <w:p>
      <w:pPr/>
      <w:r>
        <w:t>| 24784989 | 20241228 | United Kingdom | 59 | Male | Yes | Yes | Drug interaction,Hypersensitivity | unknown,unknown |</w:t>
      </w:r>
    </w:p>
    <w:p>
      <w:pPr/>
      <w:r>
        <w:t>| 24787006 | 20241230 | United Kingdom | 59 | Male | Yes | Yes | Bradycardia,Medication error | not recovered/not resolved/ongoing,unknown |</w:t>
      </w:r>
    </w:p>
    <w:p>
      <w:pPr/>
      <w:r>
        <w:t>| 24787240 | 20241230 | United Kingdom | 45 | Male | Yes | Yes | Muscle twitching,Muscle spasms | not recovered/not resolved/ongoing,not recovered/not resolved/ongoing |</w:t>
      </w:r>
    </w:p>
    <w:p>
      <w:pPr/>
      <w:r>
        <w:t>| 24787307 | 20241230 | United Kingdom | 64 | Female | Yes | Yes | Cardiac arrest | recovering/resolving |</w:t>
      </w:r>
    </w:p>
    <w:p>
      <w:pPr/>
      <w:r>
        <w:t>| 24787627 | 20241230 | Italy | 88 | Female | Yes | Yes | Hypoglycaemia,Acidosis | recovering/resolving,recovering/resolving |</w:t>
      </w:r>
    </w:p>
    <w:p>
      <w:pPr/>
      <w:r>
        <w:t>| 24788122 | 20241230 | Italy | 63 | Male | Yes | Yes | Erectile dysfunction,Condition aggravated,Drug ineffective | recovering/resolving,recovering/resolving,unknown |</w:t>
      </w:r>
    </w:p>
    <w:p>
      <w:pPr/>
      <w:r>
        <w:t>| 24791327 | 20241231 | France | 81 | Female | Yes | Yes | Cardiac failure | not recovered/not resolved/ongoing |</w:t>
      </w:r>
    </w:p>
    <w:p>
      <w:pPr/>
      <w:r>
        <w:t>| 24791598 | 20241231 | France | 72 | Female | Yes | Yes | Hepatic cytolysis | recovering/resolving |</w:t>
      </w:r>
    </w:p>
    <w:p>
      <w:pPr/>
      <w:r>
        <w:t>| 24791831 | 20241231 | United Kingdom | UNK | Nan | Yes | Yes | Cardiogenic shock | unknown |</w:t>
      </w:r>
    </w:p>
    <w:p>
      <w:pPr/>
      <w:r>
        <w:t>| 24792345 | 20241231 | United Kingdom | UNK | Nan | Yes | Yes | Atrioventricular block | unknown |</w:t>
      </w:r>
    </w:p>
    <w:p>
      <w:pPr/>
      <w:r>
        <w:t>| 24792691 | 20241231 | France | 77 | Male | Yes | Yes | Pseudoporphyria | recovering/resolving |</w:t>
      </w:r>
    </w:p>
    <w:p>
      <w:pPr/>
      <w:r>
        <w:t>| 24792889 | 20241231 | Spain | 87 | Male | Yes | Yes | Hyponatraemia,Hypervolaemia,Cardiac failure | recovered/resolved,recovered/resolved,recovered/resolved |</w:t>
      </w:r>
    </w:p>
    <w:p>
      <w:pPr/>
      <w:r>
        <w:t>| 24793431 | 20241231 | France | 70 | Female | Yes | Yes | Dyskinesia | not recovered/not resolved/ongoing |</w:t>
      </w:r>
    </w:p>
    <w:p>
      <w:pPr/>
      <w:r>
        <w:t>| 24795574 | 20241231 | United Kingdom | 62 | Female | Yes | Yes | Oxygen saturation decreased,Cardiac failure congestive,Dyspnoea | unknown,recovered/resolved with sequelae,recovered/resolved with sequelae |</w:t>
      </w:r>
    </w:p>
    <w:p>
      <w:pPr/>
      <w:r>
        <w:t>| 24795755 | 20250101 | United Kingdom | 78 | Male | Yes | Yes | Acute kidney injury | recovered/resolved |</w:t>
      </w:r>
    </w:p>
    <w:p>
      <w:pPr/>
      <w:r>
        <w:t>| 24796067 | 20250101 | United Kingdom | 77 | Male | Yes | Yes | Leg amputation | recovered/resolved |</w:t>
      </w:r>
    </w:p>
    <w:p>
      <w:pPr/>
      <w:r>
        <w:t>| 24796224 | 20250101 | France | 70 | Male | Yes | Yes | Dyskinesia | not recovered/not resolved/ongoing |</w:t>
      </w:r>
    </w:p>
    <w:p>
      <w:pPr/>
      <w:r>
        <w:t>| 24798336 | 20250102 | Spain | 72 | Male | Yes | Yes | Inappropriate antidiuretic hormone secretion,Hyponatraemia,Craniocerebral injury,Haemorrhage intracranial | recovered/resolved,recovered/resolved,recovered/resolved,recovered/resolved |</w:t>
      </w:r>
    </w:p>
    <w:p>
      <w:pPr/>
      <w:r>
        <w:t>| 24803041 | 20250103 | Spain | UNK | Female | Yes | Yes | Hyponatraemia | recovered/resolved |</w:t>
      </w:r>
    </w:p>
    <w:p>
      <w:pPr/>
      <w:r>
        <w:t>| 24803117 | 20250103 | United Kingdom | 81 | Female | Yes | Yes | Hepatic enzyme increased | unknown |</w:t>
      </w:r>
    </w:p>
    <w:p>
      <w:pPr/>
      <w:r>
        <w:t>| 24803128 | 20250103 | Spain | UNK | Female | Yes | Yes | Haematemesis | recovered/resolved |</w:t>
      </w:r>
    </w:p>
    <w:p>
      <w:pPr/>
      <w:r>
        <w:t>| 24802877 | 20250103 | France | 63 | Male | Yes | Yes | Acute kidney injury | recovered/resolved |</w:t>
      </w:r>
    </w:p>
    <w:p>
      <w:pPr/>
      <w:r>
        <w:t>| 24803463 | 20250103 | France | 52 | Male | Yes | Yes | Hepatic cytolysis | recovered/resolved with sequelae |</w:t>
      </w:r>
    </w:p>
    <w:p>
      <w:pPr/>
      <w:r>
        <w:t>| 24806665 | 20250104 | France | UNK | Male | Yes | Yes | Foetal growth restriction,Medically induced preterm birth,Maternal exposure during pregnancy | not recovered/not resolved/ongoing,recovered/resolved,recovered/resolved |</w:t>
      </w:r>
    </w:p>
    <w:p>
      <w:pPr/>
      <w:r>
        <w:t>| 24806832 | 20250104 | Portugal | 90 | Female | Yes | Yes | Cardio-respiratory arrest | recovered/resolved |</w:t>
      </w:r>
    </w:p>
    <w:p>
      <w:pPr/>
      <w:r>
        <w:t>| 24806812 | 20250104 | Germany | UNK | Female | Yes | Yes | Sudden onset of sleep,Sleep disorder,Somnolence,Disturbance in attention,General physical health deterioration,Gamma-glutamyltransferase increased | unknown,unknown,unknown,unknown,unknown,unknown |</w:t>
      </w:r>
    </w:p>
    <w:p>
      <w:pPr/>
      <w:r>
        <w:t>| 24806776 | 20250104 | Poland | 86 | Female | Yes | Yes | Sinus bradycardia,Drug ineffective | unknown,unknown |</w:t>
      </w:r>
    </w:p>
    <w:p>
      <w:pPr/>
      <w:r>
        <w:t>| 24807274 | 20250105 | Portugal | 89 | Female | Yes | Yes | BRASH syndrome | recovered/resolved |</w:t>
      </w:r>
    </w:p>
    <w:p>
      <w:pPr/>
      <w:r>
        <w:t>| 24809124 | 20250106 | Italy | 59 | Male | Yes | Yes | Cough,Chest discomfort,Dyspnoea | recovered/resolved,recovered/resolved,recovered/resolved |</w:t>
      </w:r>
    </w:p>
    <w:p>
      <w:pPr/>
      <w:r>
        <w:t>| 24812900 | 20250107 | France | 71 | Female | Yes | Yes | Dilated cardiomyopathy | not recovered/not resolved/ongoing |</w:t>
      </w:r>
    </w:p>
    <w:p>
      <w:pPr/>
      <w:r>
        <w:t>| 24812977 | 20250107 | Germany | 56 | Female | Yes | Yes | Suicide attempt,Intentional overdose | unknown,unknown |</w:t>
      </w:r>
    </w:p>
    <w:p>
      <w:pPr/>
      <w:r>
        <w:t>| 24813219 | 20250107 | France | 78 | Male | Yes | Yes | Pancytopenia | fatal |</w:t>
      </w:r>
    </w:p>
    <w:p>
      <w:pPr/>
      <w:r>
        <w:t>| 24813415 | 20250107 | France | 91 | Male | Yes | Yes | Cutaneous vasculitis,Vascular purpura | recovering/resolving,recovering/resolving |</w:t>
      </w:r>
    </w:p>
    <w:p>
      <w:pPr/>
      <w:r>
        <w:t>| 24815412 | 20250107 | France | UNK | Female | Yes | Yes | Bradycardia foetal,Neonatal respiratory distress,Microencephaly,Neonatal behavioural syndrome,Maternal exposure during pregnancy,Foetal growth restriction | recovered/resolved,recovered/resolved,not recovered/not resolved/ongoing,recovered/resolved,not recovered/not resolved/ongoing,recovered/resolved |</w:t>
      </w:r>
    </w:p>
    <w:p>
      <w:pPr/>
      <w:r>
        <w:t>| 24816890 | 20250107 | France | 67 | Male | Yes | Yes | Hepatic cytolysis | recovering/resolving |</w:t>
      </w:r>
    </w:p>
    <w:p>
      <w:pPr/>
      <w:r>
        <w:t>| 24813208 | 20250107 | Germany | 66 | Female | Yes | Yes | Urostomy complication | recovered/resolved |</w:t>
      </w:r>
    </w:p>
    <w:p>
      <w:pPr/>
      <w:r>
        <w:t>| 24822547 | 20250109 | United Kingdom | 80 | Male | Yes | Yes | Symptom masked | unknown |</w:t>
      </w:r>
    </w:p>
    <w:p>
      <w:pPr/>
      <w:r>
        <w:t>| 24823024 | 20250109 | Germany | 66 | Female | Yes | Yes | Gastric ulcer | recovered/resolved |</w:t>
      </w:r>
    </w:p>
    <w:p>
      <w:pPr/>
      <w:r>
        <w:t>| 24828530 | 20250110 | France | 62 | Female | Yes | Yes | Altered state of consciousness,Cognitive disorder,Asthenia,Salivary hypersecretion,Overdose | recovered/resolved,recovered/resolved,recovered/resolved,recovered/resolved,recovered/resolved |</w:t>
      </w:r>
    </w:p>
    <w:p>
      <w:pPr/>
      <w:r>
        <w:t>| 24828871 | 20250110 | Spain | 104 | Female | Yes | Yes | Syncope,Hyponatraemia,Asthenia,Dizziness,Fall | unknown,unknown,unknown,unknown,unknown |</w:t>
      </w:r>
    </w:p>
    <w:p>
      <w:pPr/>
      <w:r>
        <w:t>| 24833163 | 20250111 | France | 71 | Male | Yes | Yes | Hypoglycaemia | recovered/resolved |</w:t>
      </w:r>
    </w:p>
    <w:p>
      <w:pPr/>
      <w:r>
        <w:t>| 24833191 | 20250111 | United Kingdom | 66 | Female | Yes | Yes | Mobility decreased,Hypertonia,Parkinsonism,Cognitive disorder,Hyperreflexia,Reduced facial expression,Tardive dyskinesia,Tremor,Fall,Reflexes abnormal | recovering/resolving,recovering/resolving,recovering/resolving,recovering/resolving,recovering/resolving,recovering/resolving,recovering/resolving,recovering/resolving,recovering/resolving,recovering/resolving |</w:t>
      </w:r>
    </w:p>
    <w:p>
      <w:pPr/>
      <w:r>
        <w:t>| 24833204 | 20250111 | Germany | 58 | Female | Yes | Yes | Chest pain,Dizziness,Blood pressure systolic decreased,Right ventricular failure,Pleural effusion,Pulmonary congestion,Pneumonia,Pericardial effusion,Renal injury,Cardiorenal syndrome,Lymphadenopathy mediastinal,Pain,Arthralgia,Cystitis escherichia | unknown,recovered/resolved,unknown,unknown,unknown,unknown,unknown,unknown,unknown,unknown,unknown,unknown,unknown,unknown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