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Business Assumptions: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AS-1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Suitable cloud infrastructure will be available to support the scalability requirements of our cloud-native development service.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AS-2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development team will have expertise in cloud-native technologies, including Kubernetes, Microservices, Containers, and Terraform.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AS-3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Customers will have the necessary knowledge or training to utilize and benefit from our cloud-native development service.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AS-4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speed and efficiency of our service will be approximately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twice (2x)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that of traditional software development methods.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AS-5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operational costs of using our service will be approximately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50%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less as compared to traditional methods, as customers only pay for the resources their application uses.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DE-1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project relies on cloud-native technologies such as Kubernetes, Microservices, Containers, and Terraform.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DE-2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successful execution of our service depends on the continuous availability and performance of the cloud infrastructure.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DE-3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The effectiveness of our service is dependent on the application and understanding of cloud-native principles by the development team.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DE-4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 Our service's scalability, resilience, and cost-effectiveness rely on efficiently utilizing cloud resources.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