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19th September 2023        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Give short and concise answers to the following: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1. What are the pros and cons of assigning the role of a business analyst to a developer or a tester?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Identify the types of stakeholders that the Business Analyst needs to interact with and briefly mention what will be communicated between the Business Analyst and each stakeholder.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