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r w:rsidRPr="00CC35AB">
        <w:rPr>
          <w:rFonts w:ascii="Segoe UI" w:eastAsia="Times New Roman" w:hAnsi="Segoe UI" w:cs="Segoe UI"/>
          <w:b/>
          <w:bCs/>
          <w:color w:val="24292F"/>
          <w:kern w:val="36"/>
          <w:sz w:val="42"/>
          <w:szCs w:val="42"/>
          <w:lang w:eastAsia="en-IL"/>
        </w:rPr>
        <w:t>LogicalCircuit</w:t>
      </w:r>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קראתי חומר וכן התחלתי להכיר את הספריה.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Schemadraw. </w:t>
      </w:r>
      <w:r w:rsidRPr="00CC35AB">
        <w:rPr>
          <w:rFonts w:ascii="Segoe UI" w:eastAsia="Times New Roman" w:hAnsi="Segoe UI" w:cs="Segoe UI"/>
          <w:color w:val="24292F"/>
          <w:sz w:val="21"/>
          <w:szCs w:val="21"/>
          <w:rtl/>
          <w:lang w:eastAsia="en-IL"/>
        </w:rPr>
        <w:t>היתרון של ספריה זו שהיא מספקת צורות מוכנות למעגלים לוגים וחשמליים. אולם זוהי ספריה סטטית אשר איננה תומכת באירועים ובנוסף חסירה עושר גרפי. • שימוש ב</w:t>
      </w:r>
      <w:r w:rsidRPr="00CC35AB">
        <w:rPr>
          <w:rFonts w:ascii="Segoe UI" w:eastAsia="Times New Roman" w:hAnsi="Segoe UI" w:cs="Segoe UI"/>
          <w:color w:val="24292F"/>
          <w:sz w:val="21"/>
          <w:szCs w:val="21"/>
          <w:lang w:eastAsia="en-IL"/>
        </w:rPr>
        <w:t xml:space="preserve"> nodeeditor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מאשר עבור צורות גרפיות ומצריכה לימוד בהיקף נרחב מאוד. כיסוי הספריה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tKinter.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tKinter.</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nodeeditor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עמ לשנות את הגרפיקה יש צורך בלימוד </w:t>
      </w:r>
      <w:r>
        <w:rPr>
          <w:rFonts w:ascii="Segoe UI" w:eastAsia="Times New Roman" w:hAnsi="Segoe UI" w:cs="Segoe UI"/>
          <w:color w:val="24292F"/>
          <w:sz w:val="21"/>
          <w:szCs w:val="21"/>
          <w:lang w:val="en-US" w:eastAsia="en-IL"/>
        </w:rPr>
        <w:t>QtPy</w:t>
      </w:r>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r>
        <w:rPr>
          <w:rFonts w:ascii="Segoe UI" w:eastAsia="Times New Roman" w:hAnsi="Segoe UI" w:cs="Segoe UI"/>
          <w:color w:val="24292F"/>
          <w:sz w:val="21"/>
          <w:szCs w:val="21"/>
          <w:lang w:val="en-US" w:eastAsia="en-IL"/>
        </w:rPr>
        <w:t>node_graphics_node</w:t>
      </w:r>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r>
        <w:rPr>
          <w:rFonts w:ascii="Segoe UI" w:eastAsia="Times New Roman" w:hAnsi="Segoe UI" w:cs="Segoe UI"/>
          <w:color w:val="24292F"/>
          <w:sz w:val="21"/>
          <w:szCs w:val="21"/>
          <w:lang w:val="en-US" w:eastAsia="en-IL"/>
        </w:rPr>
        <w:t>node_editor_widget</w:t>
      </w:r>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initUI</w:t>
      </w:r>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עמ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r>
        <w:rPr>
          <w:rFonts w:ascii="Segoe UI" w:eastAsia="Times New Roman" w:hAnsi="Segoe UI" w:cs="Segoe UI"/>
          <w:color w:val="24292F"/>
          <w:sz w:val="21"/>
          <w:szCs w:val="21"/>
          <w:lang w:val="en-US" w:eastAsia="en-IL"/>
        </w:rPr>
        <w:t>addNodes</w:t>
      </w:r>
      <w:r>
        <w:rPr>
          <w:rFonts w:ascii="Segoe UI" w:eastAsia="Times New Roman" w:hAnsi="Segoe UI" w:cs="Segoe UI" w:hint="cs"/>
          <w:color w:val="24292F"/>
          <w:sz w:val="21"/>
          <w:szCs w:val="21"/>
          <w:rtl/>
          <w:lang w:val="en-US" w:eastAsia="en-IL"/>
        </w:rPr>
        <w:t xml:space="preserve"> בקובץ </w:t>
      </w:r>
      <w:r>
        <w:rPr>
          <w:rFonts w:ascii="Segoe UI" w:eastAsia="Times New Roman" w:hAnsi="Segoe UI" w:cs="Segoe UI"/>
          <w:color w:val="24292F"/>
          <w:sz w:val="21"/>
          <w:szCs w:val="21"/>
          <w:lang w:val="en-US" w:eastAsia="en-IL"/>
        </w:rPr>
        <w:t>node_editor_widget</w:t>
      </w:r>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r>
        <w:rPr>
          <w:rFonts w:ascii="Segoe UI" w:eastAsia="Times New Roman" w:hAnsi="Segoe UI" w:cs="Segoe UI"/>
          <w:color w:val="24292F"/>
          <w:sz w:val="21"/>
          <w:szCs w:val="21"/>
          <w:lang w:val="en-US" w:eastAsia="en-IL"/>
        </w:rPr>
        <w:t>addNodes</w:t>
      </w:r>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r>
        <w:rPr>
          <w:rFonts w:ascii="Segoe UI" w:eastAsia="Times New Roman" w:hAnsi="Segoe UI" w:cs="Segoe UI"/>
          <w:color w:val="24292F"/>
          <w:sz w:val="21"/>
          <w:szCs w:val="21"/>
          <w:lang w:val="en-US" w:eastAsia="en-IL"/>
        </w:rPr>
        <w:t>node_socket</w:t>
      </w:r>
      <w:r w:rsidR="00501578">
        <w:rPr>
          <w:rFonts w:ascii="Segoe UI" w:eastAsia="Times New Roman" w:hAnsi="Segoe UI" w:cs="Segoe UI" w:hint="cs"/>
          <w:color w:val="24292F"/>
          <w:sz w:val="21"/>
          <w:szCs w:val="21"/>
          <w:rtl/>
          <w:lang w:val="en-US" w:eastAsia="en-IL"/>
        </w:rPr>
        <w:t xml:space="preserve">, </w:t>
      </w:r>
      <w:r w:rsidR="00501578">
        <w:rPr>
          <w:rFonts w:ascii="Segoe UI" w:eastAsia="Times New Roman" w:hAnsi="Segoe UI" w:cs="Segoe UI"/>
          <w:color w:val="24292F"/>
          <w:sz w:val="21"/>
          <w:szCs w:val="21"/>
          <w:lang w:val="en-US" w:eastAsia="en-IL"/>
        </w:rPr>
        <w:t>node_graphics_socket</w:t>
      </w:r>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לפונקצייה </w:t>
      </w:r>
      <w:r>
        <w:rPr>
          <w:rFonts w:ascii="Segoe UI" w:eastAsia="Times New Roman" w:hAnsi="Segoe UI" w:cs="Segoe UI"/>
          <w:color w:val="24292F"/>
          <w:sz w:val="21"/>
          <w:szCs w:val="21"/>
          <w:lang w:val="en-US" w:eastAsia="en-IL"/>
        </w:rPr>
        <w:t>initSocket()</w:t>
      </w:r>
      <w:r>
        <w:rPr>
          <w:rFonts w:ascii="Segoe UI" w:eastAsia="Times New Roman" w:hAnsi="Segoe UI" w:cs="Segoe UI" w:hint="cs"/>
          <w:color w:val="24292F"/>
          <w:sz w:val="21"/>
          <w:szCs w:val="21"/>
          <w:rtl/>
          <w:lang w:val="en-US" w:eastAsia="en-IL"/>
        </w:rPr>
        <w:t xml:space="preserve"> שנמצאת במחלקה </w:t>
      </w:r>
      <w:r>
        <w:rPr>
          <w:rFonts w:ascii="Segoe UI" w:eastAsia="Times New Roman" w:hAnsi="Segoe UI" w:cs="Segoe UI"/>
          <w:color w:val="24292F"/>
          <w:sz w:val="21"/>
          <w:szCs w:val="21"/>
          <w:lang w:val="en-US" w:eastAsia="en-IL"/>
        </w:rPr>
        <w:t>node_graphics_node</w:t>
      </w:r>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r>
        <w:rPr>
          <w:rFonts w:ascii="Segoe UI" w:eastAsia="Times New Roman" w:hAnsi="Segoe UI" w:cs="Segoe UI"/>
          <w:color w:val="24292F"/>
          <w:sz w:val="21"/>
          <w:szCs w:val="21"/>
          <w:lang w:val="en-US" w:eastAsia="en-IL"/>
        </w:rPr>
        <w:t>node_graphics_socket.paint()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r>
        <w:rPr>
          <w:rFonts w:ascii="Segoe UI" w:eastAsia="Times New Roman" w:hAnsi="Segoe UI" w:cs="Segoe UI"/>
          <w:color w:val="24292F"/>
          <w:sz w:val="21"/>
          <w:szCs w:val="21"/>
          <w:lang w:val="en-US" w:eastAsia="en-IL"/>
        </w:rPr>
        <w:t>gitHub</w:t>
      </w:r>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r>
        <w:rPr>
          <w:lang w:val="en-US"/>
        </w:rPr>
        <w:t>addNodes</w:t>
      </w:r>
      <w:r>
        <w:rPr>
          <w:rFonts w:hint="cs"/>
          <w:rtl/>
          <w:lang w:val="en-US"/>
        </w:rPr>
        <w:t xml:space="preserve"> בקובץ </w:t>
      </w:r>
      <w:r>
        <w:rPr>
          <w:lang w:val="en-US"/>
        </w:rPr>
        <w:t>node_editor_widget</w:t>
      </w:r>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r>
        <w:rPr>
          <w:lang w:val="en-US"/>
        </w:rPr>
        <w:t>getSocketPosition</w:t>
      </w:r>
      <w:r>
        <w:rPr>
          <w:rFonts w:hint="cs"/>
          <w:rtl/>
          <w:lang w:val="en-US"/>
        </w:rPr>
        <w:t xml:space="preserve"> בקובץ </w:t>
      </w:r>
      <w:r>
        <w:rPr>
          <w:lang w:val="en-US"/>
        </w:rPr>
        <w:t>node_node</w:t>
      </w:r>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r>
        <w:rPr>
          <w:rFonts w:hint="cs"/>
          <w:rtl/>
          <w:lang w:val="en-US"/>
        </w:rPr>
        <w:t xml:space="preserve">איתחול ה </w:t>
      </w:r>
      <w:r>
        <w:rPr>
          <w:lang w:val="en-US"/>
        </w:rPr>
        <w:t>sockets</w:t>
      </w:r>
      <w:r>
        <w:rPr>
          <w:rFonts w:hint="cs"/>
          <w:rtl/>
          <w:lang w:val="en-US"/>
        </w:rPr>
        <w:t xml:space="preserve"> מתבצע ב קובץ </w:t>
      </w:r>
      <w:r>
        <w:rPr>
          <w:lang w:val="en-US"/>
        </w:rPr>
        <w:t>node_node</w:t>
      </w:r>
      <w:r>
        <w:rPr>
          <w:rFonts w:hint="cs"/>
          <w:rtl/>
          <w:lang w:val="en-US"/>
        </w:rPr>
        <w:t xml:space="preserve"> בפונקציה </w:t>
      </w:r>
      <w:r>
        <w:rPr>
          <w:lang w:val="en-US"/>
        </w:rPr>
        <w:t>initSocket</w:t>
      </w:r>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בוצע שינוי של צורת האיתחול. במקור האיתחול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עיבוד קבצים בפייתון,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6830CC91"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p w14:paraId="3324C246" w14:textId="7402FC85" w:rsidR="00263363" w:rsidRDefault="00263363" w:rsidP="00263363">
      <w:pPr>
        <w:pStyle w:val="ListParagraph"/>
        <w:bidi/>
        <w:spacing w:before="100" w:beforeAutospacing="1" w:after="100" w:afterAutospacing="1" w:line="240" w:lineRule="auto"/>
        <w:jc w:val="left"/>
        <w:rPr>
          <w:rtl/>
          <w:lang w:val="en-US"/>
        </w:rPr>
      </w:pPr>
      <w:r>
        <w:rPr>
          <w:rFonts w:hint="cs"/>
          <w:rtl/>
          <w:lang w:val="en-US"/>
        </w:rPr>
        <w:t>תיקון הבאגים וסיום עיבוד הקובץ</w:t>
      </w:r>
      <w:r w:rsidR="008721F0">
        <w:rPr>
          <w:rFonts w:hint="cs"/>
          <w:rtl/>
          <w:lang w:val="en-US"/>
        </w:rPr>
        <w:t>, כמות שעות: 6 שעות</w:t>
      </w:r>
    </w:p>
    <w:p w14:paraId="319E7C05" w14:textId="4A4D03E4" w:rsidR="008721F0" w:rsidRDefault="008721F0" w:rsidP="008721F0">
      <w:pPr>
        <w:pStyle w:val="ListParagraph"/>
        <w:numPr>
          <w:ilvl w:val="0"/>
          <w:numId w:val="4"/>
        </w:numPr>
        <w:bidi/>
        <w:spacing w:before="100" w:beforeAutospacing="1" w:after="100" w:afterAutospacing="1" w:line="240" w:lineRule="auto"/>
        <w:jc w:val="left"/>
        <w:rPr>
          <w:lang w:val="en-US"/>
        </w:rPr>
      </w:pPr>
      <w:r>
        <w:rPr>
          <w:rFonts w:hint="cs"/>
          <w:rtl/>
          <w:lang w:val="en-US"/>
        </w:rPr>
        <w:t>הפיכת השערים לרשימה מקושרת על מנת למיין אותם בצורה קלה ונוחה בהתאם לכניסות והיציאות הלוגיות שלהם.</w:t>
      </w:r>
    </w:p>
    <w:p w14:paraId="079B2AA8" w14:textId="76669AA3" w:rsidR="008721F0" w:rsidRDefault="008721F0" w:rsidP="008721F0">
      <w:pPr>
        <w:pStyle w:val="ListParagraph"/>
        <w:bidi/>
        <w:spacing w:before="100" w:beforeAutospacing="1" w:after="100" w:afterAutospacing="1" w:line="240" w:lineRule="auto"/>
        <w:jc w:val="left"/>
        <w:rPr>
          <w:lang w:val="en-US"/>
        </w:rPr>
      </w:pPr>
      <w:r>
        <w:rPr>
          <w:rFonts w:hint="cs"/>
          <w:rtl/>
          <w:lang w:val="en-US"/>
        </w:rPr>
        <w:t>6 שעות עבודה.</w:t>
      </w:r>
    </w:p>
    <w:p w14:paraId="59474BA3" w14:textId="1F2D7FC3" w:rsidR="0077301C" w:rsidRDefault="0077301C" w:rsidP="0077301C">
      <w:pPr>
        <w:pStyle w:val="ListParagraph"/>
        <w:bidi/>
        <w:spacing w:before="100" w:beforeAutospacing="1" w:after="100" w:afterAutospacing="1" w:line="240" w:lineRule="auto"/>
        <w:jc w:val="left"/>
        <w:rPr>
          <w:lang w:val="en-US"/>
        </w:rPr>
      </w:pPr>
    </w:p>
    <w:p w14:paraId="2F8B239F" w14:textId="67B1D847" w:rsidR="0077301C" w:rsidRDefault="0077301C" w:rsidP="0077301C">
      <w:pPr>
        <w:pStyle w:val="ListParagraph"/>
        <w:bidi/>
        <w:spacing w:before="100" w:beforeAutospacing="1" w:after="100" w:afterAutospacing="1" w:line="240" w:lineRule="auto"/>
        <w:jc w:val="left"/>
        <w:rPr>
          <w:rtl/>
          <w:lang w:val="en-US"/>
        </w:rPr>
      </w:pPr>
      <w:r>
        <w:rPr>
          <w:rFonts w:hint="cs"/>
          <w:rtl/>
          <w:lang w:val="en-US"/>
        </w:rPr>
        <w:t xml:space="preserve">שבוע המסתיים ב 15/4 </w:t>
      </w:r>
      <w:r>
        <w:rPr>
          <w:rtl/>
          <w:lang w:val="en-US"/>
        </w:rPr>
        <w:t>–</w:t>
      </w:r>
      <w:r>
        <w:rPr>
          <w:rFonts w:hint="cs"/>
          <w:rtl/>
          <w:lang w:val="en-US"/>
        </w:rPr>
        <w:t xml:space="preserve"> ללא התקדמות, נקיונות לפסח</w:t>
      </w:r>
    </w:p>
    <w:p w14:paraId="2CC314A7" w14:textId="4F41AED7" w:rsidR="0077301C" w:rsidRDefault="0077301C" w:rsidP="0077301C">
      <w:pPr>
        <w:pStyle w:val="ListParagraph"/>
        <w:bidi/>
        <w:spacing w:before="100" w:beforeAutospacing="1" w:after="100" w:afterAutospacing="1" w:line="240" w:lineRule="auto"/>
        <w:jc w:val="left"/>
        <w:rPr>
          <w:rtl/>
          <w:lang w:val="en-US"/>
        </w:rPr>
      </w:pPr>
      <w:r>
        <w:rPr>
          <w:rFonts w:hint="cs"/>
          <w:rtl/>
          <w:lang w:val="en-US"/>
        </w:rPr>
        <w:t>שבוע המסתיים ב 21/4</w:t>
      </w:r>
    </w:p>
    <w:p w14:paraId="25DD3BBC" w14:textId="7EA279E9" w:rsidR="0077301C" w:rsidRDefault="0077301C" w:rsidP="0077301C">
      <w:pPr>
        <w:pStyle w:val="ListParagraph"/>
        <w:bidi/>
        <w:spacing w:before="100" w:beforeAutospacing="1" w:after="100" w:afterAutospacing="1" w:line="240" w:lineRule="auto"/>
        <w:jc w:val="left"/>
        <w:rPr>
          <w:rtl/>
          <w:lang w:val="en-US"/>
        </w:rPr>
      </w:pPr>
      <w:r>
        <w:rPr>
          <w:rFonts w:hint="cs"/>
          <w:rtl/>
          <w:lang w:val="en-US"/>
        </w:rPr>
        <w:t xml:space="preserve">סידור השערים על פני המסך בהתאם לסדר הלוגי שלהם (יציאות כנגד כניסות מתאימות) ולא לפי סדר הופעתם בקובץ ( </w:t>
      </w:r>
      <w:r>
        <w:rPr>
          <w:lang w:val="en-US"/>
        </w:rPr>
        <w:t>Verilog</w:t>
      </w:r>
      <w:r>
        <w:rPr>
          <w:rFonts w:hint="cs"/>
          <w:rtl/>
          <w:lang w:val="en-US"/>
        </w:rPr>
        <w:t xml:space="preserve"> מאפשרת רישום השערים בכל סדר שהוא).- היה אגוז קשה לפיצוח.</w:t>
      </w:r>
    </w:p>
    <w:p w14:paraId="3A2BE94A" w14:textId="3AE6A65B" w:rsidR="0077301C" w:rsidRPr="005D77A8" w:rsidRDefault="0077301C" w:rsidP="0077301C">
      <w:pPr>
        <w:pStyle w:val="ListParagraph"/>
        <w:bidi/>
        <w:spacing w:before="100" w:beforeAutospacing="1" w:after="100" w:afterAutospacing="1" w:line="240" w:lineRule="auto"/>
        <w:jc w:val="left"/>
        <w:rPr>
          <w:rFonts w:hint="cs"/>
          <w:rtl/>
          <w:lang w:val="en-US"/>
        </w:rPr>
      </w:pPr>
      <w:r>
        <w:rPr>
          <w:rFonts w:hint="cs"/>
          <w:rtl/>
          <w:lang w:val="en-US"/>
        </w:rPr>
        <w:t xml:space="preserve">הבעיות כרגע </w:t>
      </w:r>
      <w:r>
        <w:rPr>
          <w:rtl/>
          <w:lang w:val="en-US"/>
        </w:rPr>
        <w:t>–</w:t>
      </w:r>
      <w:r>
        <w:rPr>
          <w:rFonts w:hint="cs"/>
          <w:rtl/>
          <w:lang w:val="en-US"/>
        </w:rPr>
        <w:t xml:space="preserve"> ציור הכניסות הראשוניות המזינות את השערים והיציאות. הספריה הזו תומכת רק בציור של </w:t>
      </w:r>
      <w:r>
        <w:rPr>
          <w:lang w:val="en-US"/>
        </w:rPr>
        <w:t>nodes</w:t>
      </w:r>
      <w:r>
        <w:rPr>
          <w:rFonts w:hint="cs"/>
          <w:rtl/>
          <w:lang w:val="en-US"/>
        </w:rPr>
        <w:t xml:space="preserve"> על פני המסך.</w:t>
      </w:r>
    </w:p>
    <w:sectPr w:rsidR="0077301C"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27C4E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263363"/>
    <w:rsid w:val="00501578"/>
    <w:rsid w:val="00521457"/>
    <w:rsid w:val="005D77A8"/>
    <w:rsid w:val="0077301C"/>
    <w:rsid w:val="00800ED7"/>
    <w:rsid w:val="008721F0"/>
    <w:rsid w:val="008922BE"/>
    <w:rsid w:val="00997DD0"/>
    <w:rsid w:val="00AF0ADA"/>
    <w:rsid w:val="00B90BD0"/>
    <w:rsid w:val="00BF4AF3"/>
    <w:rsid w:val="00CC35AB"/>
    <w:rsid w:val="00CE770B"/>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21410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11</cp:revision>
  <dcterms:created xsi:type="dcterms:W3CDTF">2022-03-11T10:08:00Z</dcterms:created>
  <dcterms:modified xsi:type="dcterms:W3CDTF">2022-04-17T10:25:00Z</dcterms:modified>
</cp:coreProperties>
</file>